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C4" w:rsidRDefault="00EB4AC4" w:rsidP="00EB4AC4">
      <w:pPr>
        <w:jc w:val="center"/>
        <w:rPr>
          <w:rFonts w:ascii="Times New Roman" w:hAnsi="Times New Roman" w:cs="Times New Roman"/>
          <w:noProof/>
          <w:sz w:val="24"/>
          <w:szCs w:val="24"/>
        </w:rPr>
      </w:pPr>
    </w:p>
    <w:p w:rsidR="00EB4AC4" w:rsidRDefault="00EB4AC4" w:rsidP="00EB4AC4">
      <w:pPr>
        <w:jc w:val="center"/>
        <w:rPr>
          <w:rFonts w:ascii="Times New Roman" w:hAnsi="Times New Roman" w:cs="Times New Roman"/>
          <w:noProof/>
          <w:sz w:val="24"/>
          <w:szCs w:val="24"/>
        </w:rPr>
      </w:pPr>
    </w:p>
    <w:p w:rsidR="00EB4AC4" w:rsidRDefault="00EB4AC4" w:rsidP="00EB4AC4">
      <w:pPr>
        <w:jc w:val="center"/>
        <w:rPr>
          <w:rFonts w:ascii="Times New Roman" w:hAnsi="Times New Roman" w:cs="Times New Roman"/>
          <w:sz w:val="24"/>
          <w:szCs w:val="24"/>
          <w:lang w:val="en-US"/>
        </w:rPr>
      </w:pPr>
      <w:bookmarkStart w:id="0" w:name="_GoBack"/>
      <w:bookmarkEnd w:id="0"/>
    </w:p>
    <w:p w:rsidR="00EB4AC4" w:rsidRPr="0025472A" w:rsidRDefault="00EB4AC4" w:rsidP="00EB4AC4">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EB4AC4" w:rsidRPr="004C14FF" w:rsidRDefault="00EB4AC4" w:rsidP="00EB4AC4">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A72B9C" w:rsidRPr="006439B0" w:rsidRDefault="00A72B9C" w:rsidP="000A1B00">
      <w:pPr>
        <w:suppressAutoHyphens w:val="0"/>
        <w:spacing w:after="0" w:line="240" w:lineRule="auto"/>
        <w:jc w:val="center"/>
        <w:rPr>
          <w:rFonts w:ascii="Times New Roman" w:hAnsi="Times New Roman" w:cs="Times New Roman"/>
          <w:color w:val="000000" w:themeColor="text1"/>
          <w:sz w:val="28"/>
          <w:szCs w:val="28"/>
        </w:rPr>
      </w:pPr>
    </w:p>
    <w:p w:rsidR="00A72B9C" w:rsidRPr="006439B0" w:rsidRDefault="00A72B9C" w:rsidP="000A1B00">
      <w:pPr>
        <w:suppressAutoHyphens w:val="0"/>
        <w:spacing w:after="0" w:line="240" w:lineRule="auto"/>
        <w:jc w:val="center"/>
        <w:rPr>
          <w:rFonts w:ascii="Times New Roman" w:hAnsi="Times New Roman" w:cs="Times New Roman"/>
          <w:color w:val="000000" w:themeColor="text1"/>
          <w:sz w:val="28"/>
          <w:szCs w:val="28"/>
        </w:rPr>
      </w:pPr>
    </w:p>
    <w:p w:rsidR="00A72B9C" w:rsidRPr="006439B0" w:rsidRDefault="001D15ED" w:rsidP="001D15ED">
      <w:pPr>
        <w:suppressAutoHyphens w:val="0"/>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11 сентября 2024 г. № 445</w:t>
      </w:r>
    </w:p>
    <w:p w:rsidR="00A72B9C" w:rsidRPr="006439B0" w:rsidRDefault="001D15ED" w:rsidP="001D15ED">
      <w:pPr>
        <w:suppressAutoHyphens w:val="0"/>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Кызыл</w:t>
      </w:r>
    </w:p>
    <w:p w:rsidR="00A72B9C" w:rsidRPr="006439B0" w:rsidRDefault="00A72B9C" w:rsidP="000A1B00">
      <w:pPr>
        <w:suppressAutoHyphens w:val="0"/>
        <w:spacing w:after="0" w:line="240" w:lineRule="auto"/>
        <w:jc w:val="center"/>
        <w:rPr>
          <w:rFonts w:ascii="Times New Roman" w:hAnsi="Times New Roman" w:cs="Times New Roman"/>
          <w:color w:val="000000" w:themeColor="text1"/>
          <w:sz w:val="28"/>
          <w:szCs w:val="28"/>
        </w:rPr>
      </w:pPr>
    </w:p>
    <w:p w:rsidR="00A72B9C" w:rsidRPr="006439B0" w:rsidRDefault="00A72B9C" w:rsidP="000A1B00">
      <w:pPr>
        <w:suppressAutoHyphens w:val="0"/>
        <w:spacing w:after="0" w:line="240" w:lineRule="auto"/>
        <w:jc w:val="center"/>
        <w:rPr>
          <w:rFonts w:ascii="Times New Roman" w:hAnsi="Times New Roman" w:cs="Times New Roman"/>
          <w:b/>
          <w:color w:val="000000" w:themeColor="text1"/>
          <w:sz w:val="28"/>
          <w:szCs w:val="28"/>
        </w:rPr>
      </w:pPr>
      <w:r w:rsidRPr="006439B0">
        <w:rPr>
          <w:rFonts w:ascii="Times New Roman" w:hAnsi="Times New Roman" w:cs="Times New Roman"/>
          <w:b/>
          <w:color w:val="000000" w:themeColor="text1"/>
          <w:sz w:val="28"/>
          <w:szCs w:val="28"/>
        </w:rPr>
        <w:t xml:space="preserve">Об одобрении доклада о ходе реализации </w:t>
      </w:r>
    </w:p>
    <w:p w:rsidR="00A72B9C" w:rsidRPr="006439B0" w:rsidRDefault="00A72B9C" w:rsidP="000A1B00">
      <w:pPr>
        <w:suppressAutoHyphens w:val="0"/>
        <w:spacing w:after="0" w:line="240" w:lineRule="auto"/>
        <w:jc w:val="center"/>
        <w:rPr>
          <w:rFonts w:ascii="Times New Roman" w:hAnsi="Times New Roman" w:cs="Times New Roman"/>
          <w:b/>
          <w:color w:val="000000" w:themeColor="text1"/>
          <w:sz w:val="28"/>
          <w:szCs w:val="28"/>
        </w:rPr>
      </w:pPr>
      <w:r w:rsidRPr="006439B0">
        <w:rPr>
          <w:rFonts w:ascii="Times New Roman" w:hAnsi="Times New Roman" w:cs="Times New Roman"/>
          <w:b/>
          <w:color w:val="000000" w:themeColor="text1"/>
          <w:sz w:val="28"/>
          <w:szCs w:val="28"/>
        </w:rPr>
        <w:t>государственной программы Республики Тыва</w:t>
      </w:r>
    </w:p>
    <w:p w:rsidR="004E1A27" w:rsidRPr="006439B0" w:rsidRDefault="00A72B9C" w:rsidP="000A1B00">
      <w:pPr>
        <w:suppressAutoHyphens w:val="0"/>
        <w:spacing w:after="0" w:line="240" w:lineRule="auto"/>
        <w:jc w:val="center"/>
        <w:rPr>
          <w:rFonts w:ascii="Times New Roman" w:hAnsi="Times New Roman" w:cs="Times New Roman"/>
          <w:b/>
          <w:color w:val="000000" w:themeColor="text1"/>
          <w:sz w:val="28"/>
          <w:szCs w:val="28"/>
        </w:rPr>
      </w:pPr>
      <w:r w:rsidRPr="006439B0">
        <w:rPr>
          <w:rFonts w:ascii="Times New Roman" w:hAnsi="Times New Roman" w:cs="Times New Roman"/>
          <w:b/>
          <w:color w:val="000000" w:themeColor="text1"/>
          <w:sz w:val="28"/>
          <w:szCs w:val="28"/>
        </w:rPr>
        <w:t xml:space="preserve"> </w:t>
      </w:r>
      <w:r w:rsidR="00A959A0" w:rsidRPr="006439B0">
        <w:rPr>
          <w:rFonts w:ascii="Times New Roman" w:hAnsi="Times New Roman" w:cs="Times New Roman"/>
          <w:b/>
          <w:color w:val="000000" w:themeColor="text1"/>
          <w:sz w:val="28"/>
          <w:szCs w:val="28"/>
        </w:rPr>
        <w:t>«</w:t>
      </w:r>
      <w:r w:rsidRPr="006439B0">
        <w:rPr>
          <w:rFonts w:ascii="Times New Roman" w:hAnsi="Times New Roman" w:cs="Times New Roman"/>
          <w:b/>
          <w:color w:val="000000" w:themeColor="text1"/>
          <w:sz w:val="28"/>
          <w:szCs w:val="28"/>
        </w:rPr>
        <w:t xml:space="preserve">Формирование современной городской </w:t>
      </w:r>
    </w:p>
    <w:p w:rsidR="004E1A27" w:rsidRPr="006439B0" w:rsidRDefault="00A72B9C" w:rsidP="000A1B00">
      <w:pPr>
        <w:suppressAutoHyphens w:val="0"/>
        <w:spacing w:after="0" w:line="240" w:lineRule="auto"/>
        <w:jc w:val="center"/>
        <w:rPr>
          <w:rFonts w:ascii="Times New Roman" w:hAnsi="Times New Roman" w:cs="Times New Roman"/>
          <w:b/>
          <w:color w:val="000000" w:themeColor="text1"/>
          <w:sz w:val="28"/>
          <w:szCs w:val="28"/>
        </w:rPr>
      </w:pPr>
      <w:r w:rsidRPr="006439B0">
        <w:rPr>
          <w:rFonts w:ascii="Times New Roman" w:hAnsi="Times New Roman" w:cs="Times New Roman"/>
          <w:b/>
          <w:color w:val="000000" w:themeColor="text1"/>
          <w:sz w:val="28"/>
          <w:szCs w:val="28"/>
        </w:rPr>
        <w:t>среды за</w:t>
      </w:r>
      <w:r w:rsidR="004E1A27" w:rsidRPr="006439B0">
        <w:rPr>
          <w:rFonts w:ascii="Times New Roman" w:hAnsi="Times New Roman" w:cs="Times New Roman"/>
          <w:b/>
          <w:color w:val="000000" w:themeColor="text1"/>
          <w:sz w:val="28"/>
          <w:szCs w:val="28"/>
        </w:rPr>
        <w:t xml:space="preserve"> </w:t>
      </w:r>
      <w:r w:rsidRPr="006439B0">
        <w:rPr>
          <w:rFonts w:ascii="Times New Roman" w:hAnsi="Times New Roman" w:cs="Times New Roman"/>
          <w:b/>
          <w:color w:val="000000" w:themeColor="text1"/>
          <w:sz w:val="28"/>
          <w:szCs w:val="28"/>
        </w:rPr>
        <w:t>2018-2024 годы</w:t>
      </w:r>
      <w:r w:rsidR="00A959A0" w:rsidRPr="006439B0">
        <w:rPr>
          <w:rFonts w:ascii="Times New Roman" w:hAnsi="Times New Roman" w:cs="Times New Roman"/>
          <w:b/>
          <w:color w:val="000000" w:themeColor="text1"/>
          <w:sz w:val="28"/>
          <w:szCs w:val="28"/>
        </w:rPr>
        <w:t>»</w:t>
      </w:r>
      <w:r w:rsidRPr="006439B0">
        <w:rPr>
          <w:rFonts w:ascii="Times New Roman" w:hAnsi="Times New Roman" w:cs="Times New Roman"/>
          <w:b/>
          <w:color w:val="000000" w:themeColor="text1"/>
          <w:sz w:val="28"/>
          <w:szCs w:val="28"/>
        </w:rPr>
        <w:t xml:space="preserve"> за период</w:t>
      </w:r>
    </w:p>
    <w:p w:rsidR="00961808" w:rsidRPr="006439B0" w:rsidRDefault="00A72B9C" w:rsidP="000A1B00">
      <w:pPr>
        <w:suppressAutoHyphens w:val="0"/>
        <w:spacing w:after="0" w:line="240" w:lineRule="auto"/>
        <w:jc w:val="center"/>
        <w:rPr>
          <w:rFonts w:ascii="Times New Roman" w:hAnsi="Times New Roman" w:cs="Times New Roman"/>
          <w:b/>
          <w:color w:val="000000" w:themeColor="text1"/>
          <w:sz w:val="28"/>
          <w:szCs w:val="28"/>
        </w:rPr>
      </w:pPr>
      <w:r w:rsidRPr="006439B0">
        <w:rPr>
          <w:rFonts w:ascii="Times New Roman" w:hAnsi="Times New Roman" w:cs="Times New Roman"/>
          <w:b/>
          <w:color w:val="000000" w:themeColor="text1"/>
          <w:sz w:val="28"/>
          <w:szCs w:val="28"/>
        </w:rPr>
        <w:t xml:space="preserve"> с 2018 года по 2023 год</w:t>
      </w:r>
    </w:p>
    <w:p w:rsidR="00961808" w:rsidRPr="006439B0" w:rsidRDefault="00961808" w:rsidP="000A1B00">
      <w:pPr>
        <w:suppressAutoHyphens w:val="0"/>
        <w:spacing w:after="0" w:line="240" w:lineRule="auto"/>
        <w:jc w:val="center"/>
        <w:rPr>
          <w:rFonts w:ascii="Times New Roman" w:hAnsi="Times New Roman" w:cs="Times New Roman"/>
          <w:color w:val="000000" w:themeColor="text1"/>
          <w:sz w:val="28"/>
          <w:szCs w:val="28"/>
        </w:rPr>
      </w:pPr>
    </w:p>
    <w:p w:rsidR="00A72B9C" w:rsidRPr="006439B0" w:rsidRDefault="00A72B9C" w:rsidP="000A1B00">
      <w:pPr>
        <w:suppressAutoHyphens w:val="0"/>
        <w:spacing w:after="0" w:line="240" w:lineRule="auto"/>
        <w:jc w:val="center"/>
        <w:rPr>
          <w:rFonts w:ascii="Times New Roman" w:hAnsi="Times New Roman" w:cs="Times New Roman"/>
          <w:color w:val="000000" w:themeColor="text1"/>
          <w:sz w:val="28"/>
          <w:szCs w:val="28"/>
        </w:rPr>
      </w:pPr>
    </w:p>
    <w:p w:rsidR="00961808" w:rsidRPr="006439B0" w:rsidRDefault="00A72B9C" w:rsidP="000A1B00">
      <w:pPr>
        <w:pStyle w:val="ConsPlusNormal"/>
        <w:shd w:val="clear" w:color="auto" w:fill="FFFFFF" w:themeFill="background1"/>
        <w:suppressAutoHyphens w:val="0"/>
        <w:spacing w:line="360" w:lineRule="atLeast"/>
        <w:ind w:firstLine="709"/>
        <w:jc w:val="both"/>
        <w:rPr>
          <w:rFonts w:ascii="Times New Roman" w:hAnsi="Times New Roman" w:cs="Times New Roman"/>
          <w:color w:val="000000" w:themeColor="text1"/>
          <w:sz w:val="28"/>
          <w:szCs w:val="28"/>
        </w:rPr>
      </w:pPr>
      <w:r w:rsidRPr="006439B0">
        <w:rPr>
          <w:rFonts w:ascii="Times New Roman" w:hAnsi="Times New Roman" w:cs="Times New Roman"/>
          <w:color w:val="000000" w:themeColor="text1"/>
          <w:sz w:val="28"/>
          <w:szCs w:val="28"/>
        </w:rPr>
        <w:t>В соответствии с Порядком разработки, реализации и оценки эффективности государственных программ Республики Тыва, утвержденным постановлением Правительства Республики Тыва от 19 июля 2023 г. № 528</w:t>
      </w:r>
      <w:r w:rsidR="004E1A27" w:rsidRPr="006439B0">
        <w:rPr>
          <w:rFonts w:ascii="Times New Roman" w:hAnsi="Times New Roman" w:cs="Times New Roman"/>
          <w:color w:val="000000" w:themeColor="text1"/>
          <w:sz w:val="28"/>
          <w:szCs w:val="28"/>
        </w:rPr>
        <w:t>,</w:t>
      </w:r>
      <w:r w:rsidRPr="006439B0">
        <w:rPr>
          <w:rFonts w:ascii="Times New Roman" w:hAnsi="Times New Roman" w:cs="Times New Roman"/>
          <w:color w:val="000000" w:themeColor="text1"/>
          <w:sz w:val="28"/>
          <w:szCs w:val="28"/>
        </w:rPr>
        <w:t xml:space="preserve"> Правительство Республики Тыва </w:t>
      </w:r>
      <w:r w:rsidR="004E1A27" w:rsidRPr="006439B0">
        <w:rPr>
          <w:rFonts w:ascii="Times New Roman" w:hAnsi="Times New Roman" w:cs="Times New Roman"/>
          <w:color w:val="000000" w:themeColor="text1"/>
          <w:sz w:val="28"/>
          <w:szCs w:val="28"/>
        </w:rPr>
        <w:t>ПОСТАНОВЛЯЕТ:</w:t>
      </w:r>
    </w:p>
    <w:p w:rsidR="004E1A27" w:rsidRPr="006439B0" w:rsidRDefault="004E1A27" w:rsidP="000A1B00">
      <w:pPr>
        <w:pStyle w:val="ConsPlusNormal"/>
        <w:shd w:val="clear" w:color="auto" w:fill="FFFFFF" w:themeFill="background1"/>
        <w:suppressAutoHyphens w:val="0"/>
        <w:spacing w:line="360" w:lineRule="atLeast"/>
        <w:ind w:firstLine="709"/>
        <w:jc w:val="both"/>
        <w:rPr>
          <w:rFonts w:ascii="Times New Roman" w:hAnsi="Times New Roman" w:cs="Times New Roman"/>
          <w:color w:val="000000" w:themeColor="text1"/>
          <w:sz w:val="28"/>
          <w:szCs w:val="28"/>
        </w:rPr>
      </w:pPr>
    </w:p>
    <w:p w:rsidR="00961808" w:rsidRPr="006439B0" w:rsidRDefault="00A72B9C" w:rsidP="000A1B00">
      <w:pPr>
        <w:pStyle w:val="ConsPlusNormal"/>
        <w:shd w:val="clear" w:color="auto" w:fill="FFFFFF" w:themeFill="background1"/>
        <w:suppressAutoHyphens w:val="0"/>
        <w:spacing w:line="360" w:lineRule="atLeast"/>
        <w:ind w:firstLine="709"/>
        <w:jc w:val="both"/>
        <w:rPr>
          <w:rFonts w:ascii="Times New Roman" w:hAnsi="Times New Roman" w:cs="Times New Roman"/>
          <w:color w:val="000000" w:themeColor="text1"/>
          <w:sz w:val="28"/>
          <w:szCs w:val="28"/>
        </w:rPr>
      </w:pPr>
      <w:r w:rsidRPr="006439B0">
        <w:rPr>
          <w:rFonts w:ascii="Times New Roman" w:hAnsi="Times New Roman" w:cs="Times New Roman"/>
          <w:color w:val="000000" w:themeColor="text1"/>
          <w:sz w:val="28"/>
          <w:szCs w:val="28"/>
        </w:rPr>
        <w:t xml:space="preserve">1. Одобрить прилагаемый доклад о реализации государственной программы Республики Тыва </w:t>
      </w:r>
      <w:r w:rsidR="00A959A0" w:rsidRPr="006439B0">
        <w:rPr>
          <w:rFonts w:ascii="Times New Roman" w:hAnsi="Times New Roman" w:cs="Times New Roman"/>
          <w:color w:val="000000" w:themeColor="text1"/>
          <w:sz w:val="28"/>
          <w:szCs w:val="28"/>
        </w:rPr>
        <w:t>«</w:t>
      </w:r>
      <w:r w:rsidRPr="006439B0">
        <w:rPr>
          <w:rFonts w:ascii="Times New Roman" w:hAnsi="Times New Roman" w:cs="Times New Roman"/>
          <w:color w:val="000000" w:themeColor="text1"/>
          <w:sz w:val="28"/>
          <w:szCs w:val="28"/>
        </w:rPr>
        <w:t>Формирование современной городской среды за 2018-2024 годы</w:t>
      </w:r>
      <w:r w:rsidR="00A959A0" w:rsidRPr="006439B0">
        <w:rPr>
          <w:rFonts w:ascii="Times New Roman" w:hAnsi="Times New Roman" w:cs="Times New Roman"/>
          <w:color w:val="000000" w:themeColor="text1"/>
          <w:sz w:val="28"/>
          <w:szCs w:val="28"/>
        </w:rPr>
        <w:t>»</w:t>
      </w:r>
      <w:r w:rsidR="00DD470D">
        <w:rPr>
          <w:rFonts w:ascii="Times New Roman" w:hAnsi="Times New Roman" w:cs="Times New Roman"/>
          <w:color w:val="000000" w:themeColor="text1"/>
          <w:sz w:val="28"/>
          <w:szCs w:val="28"/>
        </w:rPr>
        <w:t xml:space="preserve"> </w:t>
      </w:r>
      <w:r w:rsidRPr="006439B0">
        <w:rPr>
          <w:rFonts w:ascii="Times New Roman" w:hAnsi="Times New Roman" w:cs="Times New Roman"/>
          <w:color w:val="000000" w:themeColor="text1"/>
          <w:sz w:val="28"/>
          <w:szCs w:val="28"/>
        </w:rPr>
        <w:t>за период с 2018 года по 2023 год.</w:t>
      </w:r>
    </w:p>
    <w:p w:rsidR="00961808" w:rsidRPr="006439B0" w:rsidRDefault="00A72B9C" w:rsidP="000A1B00">
      <w:pPr>
        <w:pStyle w:val="ConsPlusNormal"/>
        <w:shd w:val="clear" w:color="auto" w:fill="FFFFFF" w:themeFill="background1"/>
        <w:suppressAutoHyphens w:val="0"/>
        <w:spacing w:line="360" w:lineRule="atLeast"/>
        <w:ind w:firstLine="709"/>
        <w:jc w:val="both"/>
        <w:rPr>
          <w:rFonts w:ascii="Times New Roman" w:hAnsi="Times New Roman" w:cs="Times New Roman"/>
          <w:color w:val="000000" w:themeColor="text1"/>
          <w:sz w:val="28"/>
          <w:szCs w:val="28"/>
        </w:rPr>
      </w:pPr>
      <w:r w:rsidRPr="006439B0">
        <w:rPr>
          <w:rFonts w:ascii="Times New Roman" w:hAnsi="Times New Roman" w:cs="Times New Roman"/>
          <w:color w:val="000000" w:themeColor="text1"/>
          <w:sz w:val="28"/>
          <w:szCs w:val="28"/>
        </w:rPr>
        <w:t xml:space="preserve">2. Разместить настоящее постановление на </w:t>
      </w:r>
      <w:r w:rsidR="00A959A0" w:rsidRPr="006439B0">
        <w:rPr>
          <w:rFonts w:ascii="Times New Roman" w:hAnsi="Times New Roman" w:cs="Times New Roman"/>
          <w:color w:val="000000" w:themeColor="text1"/>
          <w:sz w:val="28"/>
          <w:szCs w:val="28"/>
        </w:rPr>
        <w:t>«</w:t>
      </w:r>
      <w:r w:rsidRPr="006439B0">
        <w:rPr>
          <w:rFonts w:ascii="Times New Roman" w:hAnsi="Times New Roman" w:cs="Times New Roman"/>
          <w:color w:val="000000" w:themeColor="text1"/>
          <w:sz w:val="28"/>
          <w:szCs w:val="28"/>
        </w:rPr>
        <w:t>Официальном интернет-портале правовой информации</w:t>
      </w:r>
      <w:r w:rsidR="00A959A0" w:rsidRPr="006439B0">
        <w:rPr>
          <w:rFonts w:ascii="Times New Roman" w:hAnsi="Times New Roman" w:cs="Times New Roman"/>
          <w:color w:val="000000" w:themeColor="text1"/>
          <w:sz w:val="28"/>
          <w:szCs w:val="28"/>
        </w:rPr>
        <w:t>»</w:t>
      </w:r>
      <w:r w:rsidRPr="006439B0">
        <w:rPr>
          <w:rFonts w:ascii="Times New Roman" w:hAnsi="Times New Roman" w:cs="Times New Roman"/>
          <w:color w:val="000000" w:themeColor="text1"/>
          <w:sz w:val="28"/>
          <w:szCs w:val="28"/>
        </w:rPr>
        <w:t xml:space="preserve"> (www.pravo.gov.ru) и официальном сайте Республики Тыва в информационно-телекоммуникационной сети </w:t>
      </w:r>
      <w:r w:rsidR="00A959A0" w:rsidRPr="006439B0">
        <w:rPr>
          <w:rFonts w:ascii="Times New Roman" w:hAnsi="Times New Roman" w:cs="Times New Roman"/>
          <w:color w:val="000000" w:themeColor="text1"/>
          <w:sz w:val="28"/>
          <w:szCs w:val="28"/>
        </w:rPr>
        <w:t>«</w:t>
      </w:r>
      <w:r w:rsidRPr="006439B0">
        <w:rPr>
          <w:rFonts w:ascii="Times New Roman" w:hAnsi="Times New Roman" w:cs="Times New Roman"/>
          <w:color w:val="000000" w:themeColor="text1"/>
          <w:sz w:val="28"/>
          <w:szCs w:val="28"/>
        </w:rPr>
        <w:t>Интернет</w:t>
      </w:r>
      <w:r w:rsidR="00A959A0" w:rsidRPr="006439B0">
        <w:rPr>
          <w:rFonts w:ascii="Times New Roman" w:hAnsi="Times New Roman" w:cs="Times New Roman"/>
          <w:color w:val="000000" w:themeColor="text1"/>
          <w:sz w:val="28"/>
          <w:szCs w:val="28"/>
        </w:rPr>
        <w:t>»</w:t>
      </w:r>
      <w:r w:rsidRPr="006439B0">
        <w:rPr>
          <w:rFonts w:ascii="Times New Roman" w:hAnsi="Times New Roman" w:cs="Times New Roman"/>
          <w:color w:val="000000" w:themeColor="text1"/>
          <w:sz w:val="28"/>
          <w:szCs w:val="28"/>
        </w:rPr>
        <w:t>.</w:t>
      </w:r>
    </w:p>
    <w:p w:rsidR="00961808" w:rsidRPr="006439B0" w:rsidRDefault="00961808" w:rsidP="000A1B00">
      <w:pPr>
        <w:pStyle w:val="ConsPlusTitle"/>
        <w:shd w:val="clear" w:color="auto" w:fill="FFFFFF" w:themeFill="background1"/>
        <w:tabs>
          <w:tab w:val="left" w:pos="993"/>
        </w:tabs>
        <w:suppressAutoHyphens w:val="0"/>
        <w:spacing w:line="360" w:lineRule="atLeast"/>
        <w:rPr>
          <w:rFonts w:ascii="Times New Roman" w:hAnsi="Times New Roman" w:cs="Times New Roman"/>
          <w:b w:val="0"/>
          <w:color w:val="000000" w:themeColor="text1"/>
          <w:sz w:val="28"/>
          <w:szCs w:val="28"/>
        </w:rPr>
      </w:pPr>
    </w:p>
    <w:p w:rsidR="00961808" w:rsidRPr="006439B0" w:rsidRDefault="00961808" w:rsidP="000A1B00">
      <w:pPr>
        <w:pStyle w:val="ConsPlusNormal"/>
        <w:shd w:val="clear" w:color="auto" w:fill="FFFFFF" w:themeFill="background1"/>
        <w:suppressAutoHyphens w:val="0"/>
        <w:spacing w:line="360" w:lineRule="atLeast"/>
        <w:outlineLvl w:val="2"/>
        <w:rPr>
          <w:rFonts w:ascii="Times New Roman" w:eastAsiaTheme="minorHAnsi" w:hAnsi="Times New Roman" w:cs="Times New Roman"/>
          <w:color w:val="000000" w:themeColor="text1"/>
          <w:sz w:val="28"/>
          <w:szCs w:val="28"/>
          <w:lang w:eastAsia="en-US"/>
        </w:rPr>
      </w:pPr>
    </w:p>
    <w:p w:rsidR="00961808" w:rsidRPr="006439B0" w:rsidRDefault="00961808" w:rsidP="000A1B00">
      <w:pPr>
        <w:pStyle w:val="ConsPlusNormal"/>
        <w:shd w:val="clear" w:color="auto" w:fill="FFFFFF" w:themeFill="background1"/>
        <w:suppressAutoHyphens w:val="0"/>
        <w:spacing w:line="360" w:lineRule="atLeast"/>
        <w:outlineLvl w:val="2"/>
        <w:rPr>
          <w:rFonts w:ascii="Times New Roman" w:eastAsiaTheme="minorHAnsi" w:hAnsi="Times New Roman" w:cs="Times New Roman"/>
          <w:color w:val="000000" w:themeColor="text1"/>
          <w:sz w:val="28"/>
          <w:szCs w:val="28"/>
          <w:lang w:eastAsia="en-US"/>
        </w:rPr>
      </w:pPr>
    </w:p>
    <w:p w:rsidR="002845C8" w:rsidRDefault="002845C8" w:rsidP="002845C8">
      <w:pPr>
        <w:spacing w:after="0" w:line="360" w:lineRule="atLeast"/>
        <w:contextualSpacing/>
        <w:rPr>
          <w:rFonts w:ascii="Times New Roman" w:hAnsi="Times New Roman"/>
          <w:sz w:val="28"/>
          <w:szCs w:val="28"/>
        </w:rPr>
      </w:pPr>
      <w:r>
        <w:rPr>
          <w:rFonts w:ascii="Times New Roman" w:hAnsi="Times New Roman"/>
          <w:sz w:val="28"/>
          <w:szCs w:val="28"/>
        </w:rPr>
        <w:t xml:space="preserve">      Исполняющий обязанности </w:t>
      </w:r>
    </w:p>
    <w:p w:rsidR="002845C8" w:rsidRDefault="002845C8" w:rsidP="002845C8">
      <w:pPr>
        <w:spacing w:after="0" w:line="360" w:lineRule="atLeast"/>
        <w:contextualSpacing/>
        <w:rPr>
          <w:rFonts w:ascii="Times New Roman" w:hAnsi="Times New Roman"/>
          <w:sz w:val="28"/>
          <w:szCs w:val="28"/>
        </w:rPr>
      </w:pPr>
      <w:r>
        <w:rPr>
          <w:rFonts w:ascii="Times New Roman" w:hAnsi="Times New Roman"/>
          <w:sz w:val="28"/>
          <w:szCs w:val="28"/>
        </w:rPr>
        <w:t xml:space="preserve">первого заместителя Председателя </w:t>
      </w:r>
    </w:p>
    <w:p w:rsidR="004E1A27" w:rsidRPr="006439B0" w:rsidRDefault="002845C8" w:rsidP="002845C8">
      <w:pPr>
        <w:spacing w:after="0" w:line="360" w:lineRule="atLeast"/>
        <w:contextualSpacing/>
        <w:rPr>
          <w:rFonts w:ascii="Times New Roman" w:hAnsi="Times New Roman" w:cs="Times New Roman"/>
          <w:color w:val="000000" w:themeColor="text1"/>
          <w:sz w:val="28"/>
          <w:szCs w:val="28"/>
        </w:rPr>
      </w:pPr>
      <w:r>
        <w:rPr>
          <w:rFonts w:ascii="Times New Roman" w:hAnsi="Times New Roman"/>
          <w:sz w:val="28"/>
          <w:szCs w:val="28"/>
        </w:rPr>
        <w:t xml:space="preserve">   Правительства</w:t>
      </w:r>
      <w:r w:rsidRPr="00602AEB">
        <w:rPr>
          <w:rFonts w:ascii="Times New Roman" w:hAnsi="Times New Roman"/>
          <w:sz w:val="28"/>
          <w:szCs w:val="28"/>
        </w:rPr>
        <w:t xml:space="preserve"> Республики Тыва                                                        </w:t>
      </w:r>
      <w:r>
        <w:rPr>
          <w:rFonts w:ascii="Times New Roman" w:hAnsi="Times New Roman"/>
          <w:sz w:val="28"/>
          <w:szCs w:val="28"/>
        </w:rPr>
        <w:t>М. Хомушку</w:t>
      </w:r>
    </w:p>
    <w:p w:rsidR="004E1A27" w:rsidRPr="006439B0" w:rsidRDefault="004E1A27" w:rsidP="000A1B00">
      <w:pPr>
        <w:shd w:val="clear" w:color="auto" w:fill="FFFFFF" w:themeFill="background1"/>
        <w:suppressAutoHyphens w:val="0"/>
        <w:rPr>
          <w:rFonts w:ascii="Times New Roman" w:eastAsia="Times New Roman" w:hAnsi="Times New Roman" w:cs="Times New Roman"/>
          <w:i/>
          <w:color w:val="000000" w:themeColor="text1"/>
          <w:sz w:val="28"/>
          <w:szCs w:val="28"/>
        </w:rPr>
        <w:sectPr w:rsidR="004E1A27" w:rsidRPr="006439B0" w:rsidSect="0069546A">
          <w:headerReference w:type="default" r:id="rId6"/>
          <w:pgSz w:w="11906" w:h="16838"/>
          <w:pgMar w:top="1134" w:right="567" w:bottom="1134" w:left="1701" w:header="0" w:footer="0" w:gutter="0"/>
          <w:cols w:space="720"/>
          <w:formProt w:val="0"/>
          <w:titlePg/>
          <w:docGrid w:linePitch="360" w:charSpace="12288"/>
        </w:sectPr>
      </w:pPr>
    </w:p>
    <w:p w:rsidR="00961808" w:rsidRPr="006439B0" w:rsidRDefault="00A72B9C" w:rsidP="000A1B00">
      <w:pPr>
        <w:suppressAutoHyphens w:val="0"/>
        <w:spacing w:after="0" w:line="240" w:lineRule="auto"/>
        <w:ind w:left="5670"/>
        <w:jc w:val="center"/>
        <w:rPr>
          <w:rFonts w:ascii="Times New Roman" w:hAnsi="Times New Roman" w:cs="Times New Roman"/>
          <w:color w:val="000000" w:themeColor="text1"/>
          <w:sz w:val="28"/>
          <w:szCs w:val="28"/>
        </w:rPr>
      </w:pPr>
      <w:r w:rsidRPr="006439B0">
        <w:rPr>
          <w:rFonts w:ascii="Times New Roman" w:hAnsi="Times New Roman" w:cs="Times New Roman"/>
          <w:color w:val="000000" w:themeColor="text1"/>
          <w:sz w:val="28"/>
          <w:szCs w:val="28"/>
        </w:rPr>
        <w:lastRenderedPageBreak/>
        <w:t>Одобрен</w:t>
      </w:r>
    </w:p>
    <w:p w:rsidR="00961808" w:rsidRPr="006439B0" w:rsidRDefault="00A72B9C" w:rsidP="000A1B00">
      <w:pPr>
        <w:suppressAutoHyphens w:val="0"/>
        <w:spacing w:after="0" w:line="240" w:lineRule="auto"/>
        <w:ind w:left="5670"/>
        <w:jc w:val="center"/>
        <w:rPr>
          <w:rFonts w:ascii="Times New Roman" w:hAnsi="Times New Roman" w:cs="Times New Roman"/>
          <w:color w:val="000000" w:themeColor="text1"/>
          <w:sz w:val="28"/>
          <w:szCs w:val="28"/>
        </w:rPr>
      </w:pPr>
      <w:r w:rsidRPr="006439B0">
        <w:rPr>
          <w:rFonts w:ascii="Times New Roman" w:hAnsi="Times New Roman" w:cs="Times New Roman"/>
          <w:color w:val="000000" w:themeColor="text1"/>
          <w:sz w:val="28"/>
          <w:szCs w:val="28"/>
        </w:rPr>
        <w:t>постановлением Правительства</w:t>
      </w:r>
    </w:p>
    <w:p w:rsidR="00961808" w:rsidRPr="006439B0" w:rsidRDefault="00A72B9C" w:rsidP="000A1B00">
      <w:pPr>
        <w:suppressAutoHyphens w:val="0"/>
        <w:spacing w:after="0" w:line="240" w:lineRule="auto"/>
        <w:ind w:left="5670"/>
        <w:jc w:val="center"/>
        <w:rPr>
          <w:rFonts w:ascii="Times New Roman" w:hAnsi="Times New Roman" w:cs="Times New Roman"/>
          <w:color w:val="000000" w:themeColor="text1"/>
          <w:sz w:val="28"/>
          <w:szCs w:val="28"/>
        </w:rPr>
      </w:pPr>
      <w:r w:rsidRPr="006439B0">
        <w:rPr>
          <w:rFonts w:ascii="Times New Roman" w:hAnsi="Times New Roman" w:cs="Times New Roman"/>
          <w:color w:val="000000" w:themeColor="text1"/>
          <w:sz w:val="28"/>
          <w:szCs w:val="28"/>
        </w:rPr>
        <w:t>Республики Тыва</w:t>
      </w:r>
    </w:p>
    <w:p w:rsidR="00961808" w:rsidRPr="006439B0" w:rsidRDefault="001D15ED" w:rsidP="001D15ED">
      <w:pPr>
        <w:suppressAutoHyphens w:val="0"/>
        <w:spacing w:after="0" w:line="240" w:lineRule="auto"/>
        <w:ind w:left="4956"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11 сентября 2024 г. № 445</w:t>
      </w:r>
    </w:p>
    <w:p w:rsidR="004E1A27" w:rsidRPr="006439B0" w:rsidRDefault="004E1A27" w:rsidP="000A1B00">
      <w:pPr>
        <w:suppressAutoHyphens w:val="0"/>
        <w:spacing w:after="0" w:line="240" w:lineRule="auto"/>
        <w:jc w:val="center"/>
        <w:rPr>
          <w:rFonts w:ascii="Times New Roman" w:hAnsi="Times New Roman" w:cs="Times New Roman"/>
          <w:color w:val="000000" w:themeColor="text1"/>
          <w:sz w:val="28"/>
          <w:szCs w:val="28"/>
        </w:rPr>
      </w:pPr>
    </w:p>
    <w:p w:rsidR="00961808" w:rsidRPr="006439B0" w:rsidRDefault="00B83904" w:rsidP="000A1B00">
      <w:pPr>
        <w:suppressAutoHyphens w:val="0"/>
        <w:spacing w:after="0" w:line="240" w:lineRule="auto"/>
        <w:jc w:val="center"/>
        <w:rPr>
          <w:rFonts w:ascii="Times New Roman" w:hAnsi="Times New Roman" w:cs="Times New Roman"/>
          <w:b/>
          <w:color w:val="000000" w:themeColor="text1"/>
          <w:sz w:val="28"/>
          <w:szCs w:val="28"/>
        </w:rPr>
      </w:pPr>
      <w:r w:rsidRPr="006439B0">
        <w:rPr>
          <w:rFonts w:ascii="Times New Roman" w:hAnsi="Times New Roman" w:cs="Times New Roman"/>
          <w:b/>
          <w:color w:val="000000" w:themeColor="text1"/>
          <w:sz w:val="28"/>
          <w:szCs w:val="28"/>
        </w:rPr>
        <w:t>Д О К Л А Д</w:t>
      </w:r>
    </w:p>
    <w:p w:rsidR="00B83904" w:rsidRPr="006439B0" w:rsidRDefault="00A72B9C" w:rsidP="000A1B00">
      <w:pPr>
        <w:suppressAutoHyphens w:val="0"/>
        <w:spacing w:after="0" w:line="240" w:lineRule="auto"/>
        <w:jc w:val="center"/>
        <w:rPr>
          <w:rFonts w:ascii="Times New Roman" w:hAnsi="Times New Roman" w:cs="Times New Roman"/>
          <w:color w:val="000000" w:themeColor="text1"/>
          <w:sz w:val="28"/>
          <w:szCs w:val="28"/>
        </w:rPr>
      </w:pPr>
      <w:r w:rsidRPr="006439B0">
        <w:rPr>
          <w:rFonts w:ascii="Times New Roman" w:hAnsi="Times New Roman" w:cs="Times New Roman"/>
          <w:color w:val="000000" w:themeColor="text1"/>
          <w:sz w:val="28"/>
          <w:szCs w:val="28"/>
        </w:rPr>
        <w:t xml:space="preserve">о ходе реализации государственной </w:t>
      </w:r>
    </w:p>
    <w:p w:rsidR="00B83904" w:rsidRPr="006439B0" w:rsidRDefault="00A72B9C" w:rsidP="000A1B00">
      <w:pPr>
        <w:suppressAutoHyphens w:val="0"/>
        <w:spacing w:after="0" w:line="240" w:lineRule="auto"/>
        <w:jc w:val="center"/>
        <w:rPr>
          <w:rFonts w:ascii="Times New Roman" w:hAnsi="Times New Roman" w:cs="Times New Roman"/>
          <w:color w:val="000000" w:themeColor="text1"/>
          <w:sz w:val="28"/>
          <w:szCs w:val="28"/>
        </w:rPr>
      </w:pPr>
      <w:r w:rsidRPr="006439B0">
        <w:rPr>
          <w:rFonts w:ascii="Times New Roman" w:hAnsi="Times New Roman" w:cs="Times New Roman"/>
          <w:color w:val="000000" w:themeColor="text1"/>
          <w:sz w:val="28"/>
          <w:szCs w:val="28"/>
        </w:rPr>
        <w:t xml:space="preserve">программы Республики Тыва </w:t>
      </w:r>
      <w:r w:rsidR="00A959A0" w:rsidRPr="006439B0">
        <w:rPr>
          <w:rFonts w:ascii="Times New Roman" w:hAnsi="Times New Roman" w:cs="Times New Roman"/>
          <w:color w:val="000000" w:themeColor="text1"/>
          <w:sz w:val="28"/>
          <w:szCs w:val="28"/>
        </w:rPr>
        <w:t>«</w:t>
      </w:r>
      <w:r w:rsidRPr="006439B0">
        <w:rPr>
          <w:rFonts w:ascii="Times New Roman" w:hAnsi="Times New Roman" w:cs="Times New Roman"/>
          <w:color w:val="000000" w:themeColor="text1"/>
          <w:sz w:val="28"/>
          <w:szCs w:val="28"/>
        </w:rPr>
        <w:t xml:space="preserve">Формирование </w:t>
      </w:r>
    </w:p>
    <w:p w:rsidR="00961808" w:rsidRPr="008D0772" w:rsidRDefault="00A72B9C" w:rsidP="000A1B00">
      <w:pPr>
        <w:suppressAutoHyphens w:val="0"/>
        <w:spacing w:after="0" w:line="240" w:lineRule="auto"/>
        <w:jc w:val="center"/>
        <w:rPr>
          <w:rFonts w:ascii="Times New Roman" w:hAnsi="Times New Roman" w:cs="Times New Roman"/>
          <w:color w:val="000000" w:themeColor="text1"/>
          <w:sz w:val="28"/>
          <w:szCs w:val="28"/>
        </w:rPr>
      </w:pPr>
      <w:r w:rsidRPr="006439B0">
        <w:rPr>
          <w:rFonts w:ascii="Times New Roman" w:hAnsi="Times New Roman" w:cs="Times New Roman"/>
          <w:color w:val="000000" w:themeColor="text1"/>
          <w:sz w:val="28"/>
          <w:szCs w:val="28"/>
        </w:rPr>
        <w:t>современной городской среды за 2018-2024 годы</w:t>
      </w:r>
      <w:r w:rsidR="00A959A0" w:rsidRPr="006439B0">
        <w:rPr>
          <w:rFonts w:ascii="Times New Roman" w:hAnsi="Times New Roman" w:cs="Times New Roman"/>
          <w:color w:val="000000" w:themeColor="text1"/>
          <w:sz w:val="28"/>
          <w:szCs w:val="28"/>
        </w:rPr>
        <w:t>»</w:t>
      </w:r>
    </w:p>
    <w:p w:rsidR="008D0772" w:rsidRPr="008D0772" w:rsidRDefault="008D0772" w:rsidP="000A1B00">
      <w:pPr>
        <w:suppressAutoHyphens w:val="0"/>
        <w:spacing w:after="0" w:line="240" w:lineRule="auto"/>
        <w:jc w:val="center"/>
        <w:rPr>
          <w:rFonts w:ascii="Times New Roman" w:hAnsi="Times New Roman" w:cs="Times New Roman"/>
          <w:color w:val="000000" w:themeColor="text1"/>
          <w:sz w:val="28"/>
          <w:szCs w:val="28"/>
        </w:rPr>
      </w:pPr>
      <w:r w:rsidRPr="006439B0">
        <w:rPr>
          <w:rFonts w:ascii="Times New Roman" w:hAnsi="Times New Roman" w:cs="Times New Roman"/>
          <w:color w:val="000000" w:themeColor="text1"/>
          <w:sz w:val="28"/>
          <w:szCs w:val="28"/>
        </w:rPr>
        <w:t>за период с 2018 года по 2023 год</w:t>
      </w:r>
    </w:p>
    <w:p w:rsidR="004E1A27" w:rsidRPr="006439B0" w:rsidRDefault="004E1A27" w:rsidP="000A1B00">
      <w:pPr>
        <w:suppressAutoHyphens w:val="0"/>
        <w:spacing w:after="0" w:line="240" w:lineRule="auto"/>
        <w:jc w:val="center"/>
        <w:rPr>
          <w:rFonts w:ascii="Times New Roman" w:hAnsi="Times New Roman" w:cs="Times New Roman"/>
          <w:color w:val="000000" w:themeColor="text1"/>
          <w:sz w:val="28"/>
          <w:szCs w:val="28"/>
        </w:rPr>
      </w:pPr>
    </w:p>
    <w:p w:rsidR="00961808" w:rsidRPr="006439B0" w:rsidRDefault="00A72B9C" w:rsidP="000A1B00">
      <w:pPr>
        <w:suppressAutoHyphens w:val="0"/>
        <w:spacing w:after="0" w:line="240" w:lineRule="auto"/>
        <w:jc w:val="center"/>
        <w:rPr>
          <w:rFonts w:ascii="Times New Roman" w:hAnsi="Times New Roman" w:cs="Times New Roman"/>
          <w:color w:val="000000" w:themeColor="text1"/>
          <w:sz w:val="28"/>
          <w:szCs w:val="28"/>
        </w:rPr>
      </w:pPr>
      <w:r w:rsidRPr="006439B0">
        <w:rPr>
          <w:rFonts w:ascii="Times New Roman" w:hAnsi="Times New Roman" w:cs="Times New Roman"/>
          <w:color w:val="000000" w:themeColor="text1"/>
          <w:sz w:val="28"/>
          <w:szCs w:val="28"/>
        </w:rPr>
        <w:t>1. Общая часть</w:t>
      </w:r>
    </w:p>
    <w:p w:rsidR="00961808" w:rsidRPr="006439B0" w:rsidRDefault="00961808" w:rsidP="000A1B00">
      <w:pPr>
        <w:suppressAutoHyphens w:val="0"/>
        <w:spacing w:after="0" w:line="240" w:lineRule="auto"/>
        <w:jc w:val="center"/>
        <w:rPr>
          <w:rFonts w:ascii="Times New Roman" w:hAnsi="Times New Roman" w:cs="Times New Roman"/>
          <w:color w:val="000000" w:themeColor="text1"/>
          <w:sz w:val="28"/>
          <w:szCs w:val="28"/>
        </w:rPr>
      </w:pPr>
    </w:p>
    <w:p w:rsidR="00961808" w:rsidRPr="006439B0" w:rsidRDefault="00A72B9C" w:rsidP="000A1B00">
      <w:pPr>
        <w:pStyle w:val="ConsPlusNormal"/>
        <w:shd w:val="clear" w:color="auto" w:fill="FFFFFF" w:themeFill="background1"/>
        <w:suppressAutoHyphens w:val="0"/>
        <w:ind w:firstLine="709"/>
        <w:jc w:val="both"/>
        <w:rPr>
          <w:rFonts w:ascii="Times New Roman" w:hAnsi="Times New Roman" w:cs="Times New Roman"/>
          <w:color w:val="000000" w:themeColor="text1"/>
          <w:sz w:val="28"/>
          <w:szCs w:val="28"/>
        </w:rPr>
      </w:pPr>
      <w:r w:rsidRPr="006439B0">
        <w:rPr>
          <w:rFonts w:ascii="Times New Roman" w:hAnsi="Times New Roman" w:cs="Times New Roman"/>
          <w:color w:val="000000" w:themeColor="text1"/>
          <w:sz w:val="28"/>
          <w:szCs w:val="28"/>
        </w:rPr>
        <w:t>В Ре</w:t>
      </w:r>
      <w:r w:rsidR="00B83904" w:rsidRPr="006439B0">
        <w:rPr>
          <w:rFonts w:ascii="Times New Roman" w:hAnsi="Times New Roman" w:cs="Times New Roman"/>
          <w:color w:val="000000" w:themeColor="text1"/>
          <w:sz w:val="28"/>
          <w:szCs w:val="28"/>
        </w:rPr>
        <w:t>спублике Тыва в период с 2018</w:t>
      </w:r>
      <w:r w:rsidR="00DD470D">
        <w:rPr>
          <w:rFonts w:ascii="Times New Roman" w:hAnsi="Times New Roman" w:cs="Times New Roman"/>
          <w:color w:val="000000" w:themeColor="text1"/>
          <w:sz w:val="28"/>
          <w:szCs w:val="28"/>
        </w:rPr>
        <w:t xml:space="preserve"> по </w:t>
      </w:r>
      <w:r w:rsidRPr="006439B0">
        <w:rPr>
          <w:rFonts w:ascii="Times New Roman" w:hAnsi="Times New Roman" w:cs="Times New Roman"/>
          <w:color w:val="000000" w:themeColor="text1"/>
          <w:sz w:val="28"/>
          <w:szCs w:val="28"/>
        </w:rPr>
        <w:t xml:space="preserve">2023 годы реализована государственная программа Республики Тыва </w:t>
      </w:r>
      <w:r w:rsidR="00A959A0" w:rsidRPr="006439B0">
        <w:rPr>
          <w:rFonts w:ascii="Times New Roman" w:hAnsi="Times New Roman" w:cs="Times New Roman"/>
          <w:color w:val="000000" w:themeColor="text1"/>
          <w:sz w:val="28"/>
          <w:szCs w:val="28"/>
        </w:rPr>
        <w:t>«</w:t>
      </w:r>
      <w:r w:rsidRPr="006439B0">
        <w:rPr>
          <w:rFonts w:ascii="Times New Roman" w:hAnsi="Times New Roman" w:cs="Times New Roman"/>
          <w:color w:val="000000" w:themeColor="text1"/>
          <w:sz w:val="28"/>
          <w:szCs w:val="28"/>
        </w:rPr>
        <w:t>Формирование современной городской среды за 2018-2024 годы</w:t>
      </w:r>
      <w:r w:rsidR="00A959A0" w:rsidRPr="006439B0">
        <w:rPr>
          <w:rFonts w:ascii="Times New Roman" w:hAnsi="Times New Roman" w:cs="Times New Roman"/>
          <w:color w:val="000000" w:themeColor="text1"/>
          <w:sz w:val="28"/>
          <w:szCs w:val="28"/>
        </w:rPr>
        <w:t>»</w:t>
      </w:r>
      <w:r w:rsidRPr="006439B0">
        <w:rPr>
          <w:rFonts w:ascii="Times New Roman" w:hAnsi="Times New Roman" w:cs="Times New Roman"/>
          <w:color w:val="000000" w:themeColor="text1"/>
          <w:sz w:val="28"/>
          <w:szCs w:val="28"/>
        </w:rPr>
        <w:t xml:space="preserve"> (далее </w:t>
      </w:r>
      <w:r w:rsidR="00B83904" w:rsidRPr="006439B0">
        <w:rPr>
          <w:rFonts w:ascii="Times New Roman" w:hAnsi="Times New Roman" w:cs="Times New Roman"/>
          <w:color w:val="000000" w:themeColor="text1"/>
          <w:sz w:val="28"/>
          <w:szCs w:val="28"/>
        </w:rPr>
        <w:t>–</w:t>
      </w:r>
      <w:r w:rsidRPr="006439B0">
        <w:rPr>
          <w:rFonts w:ascii="Times New Roman" w:hAnsi="Times New Roman" w:cs="Times New Roman"/>
          <w:color w:val="000000" w:themeColor="text1"/>
          <w:sz w:val="28"/>
          <w:szCs w:val="28"/>
        </w:rPr>
        <w:t xml:space="preserve"> Программа)</w:t>
      </w:r>
      <w:r w:rsidR="00DD470D">
        <w:rPr>
          <w:rFonts w:ascii="Times New Roman" w:hAnsi="Times New Roman" w:cs="Times New Roman"/>
          <w:color w:val="000000" w:themeColor="text1"/>
          <w:sz w:val="28"/>
          <w:szCs w:val="28"/>
        </w:rPr>
        <w:t xml:space="preserve">, </w:t>
      </w:r>
      <w:r w:rsidR="00DD470D" w:rsidRPr="006439B0">
        <w:rPr>
          <w:rFonts w:ascii="Times New Roman" w:hAnsi="Times New Roman" w:cs="Times New Roman"/>
          <w:color w:val="000000" w:themeColor="text1"/>
          <w:sz w:val="28"/>
          <w:szCs w:val="28"/>
        </w:rPr>
        <w:t>утвержденн</w:t>
      </w:r>
      <w:r w:rsidR="00DD470D">
        <w:rPr>
          <w:rFonts w:ascii="Times New Roman" w:hAnsi="Times New Roman" w:cs="Times New Roman"/>
          <w:color w:val="000000" w:themeColor="text1"/>
          <w:sz w:val="28"/>
          <w:szCs w:val="28"/>
        </w:rPr>
        <w:t>ая</w:t>
      </w:r>
      <w:r w:rsidR="00DD470D" w:rsidRPr="006439B0">
        <w:rPr>
          <w:rFonts w:ascii="Times New Roman" w:hAnsi="Times New Roman" w:cs="Times New Roman"/>
          <w:color w:val="000000" w:themeColor="text1"/>
          <w:sz w:val="28"/>
          <w:szCs w:val="28"/>
        </w:rPr>
        <w:t xml:space="preserve"> постановлением Правительства Республики Тыва </w:t>
      </w:r>
      <w:r w:rsidR="00DD470D">
        <w:rPr>
          <w:rFonts w:ascii="Times New Roman" w:hAnsi="Times New Roman" w:cs="Times New Roman"/>
          <w:color w:val="000000" w:themeColor="text1"/>
          <w:sz w:val="28"/>
          <w:szCs w:val="28"/>
        </w:rPr>
        <w:t>от 4 сентября 2017 г. № 398</w:t>
      </w:r>
      <w:r w:rsidRPr="006439B0">
        <w:rPr>
          <w:rFonts w:ascii="Times New Roman" w:hAnsi="Times New Roman" w:cs="Times New Roman"/>
          <w:color w:val="000000" w:themeColor="text1"/>
          <w:sz w:val="28"/>
          <w:szCs w:val="28"/>
        </w:rPr>
        <w:t>.</w:t>
      </w:r>
    </w:p>
    <w:p w:rsidR="00961808" w:rsidRPr="006439B0" w:rsidRDefault="00A72B9C" w:rsidP="000A1B00">
      <w:pPr>
        <w:pStyle w:val="ConsPlusNormal"/>
        <w:shd w:val="clear" w:color="auto" w:fill="FFFFFF" w:themeFill="background1"/>
        <w:suppressAutoHyphens w:val="0"/>
        <w:ind w:firstLine="709"/>
        <w:jc w:val="both"/>
        <w:rPr>
          <w:rFonts w:ascii="Times New Roman" w:hAnsi="Times New Roman" w:cs="Times New Roman"/>
          <w:color w:val="000000" w:themeColor="text1"/>
          <w:sz w:val="28"/>
          <w:szCs w:val="28"/>
        </w:rPr>
      </w:pPr>
      <w:r w:rsidRPr="006439B0">
        <w:rPr>
          <w:rFonts w:ascii="Times New Roman" w:hAnsi="Times New Roman" w:cs="Times New Roman"/>
          <w:color w:val="000000" w:themeColor="text1"/>
          <w:sz w:val="28"/>
          <w:szCs w:val="28"/>
        </w:rPr>
        <w:t xml:space="preserve">Срок фактической реализации Программы </w:t>
      </w:r>
      <w:r w:rsidR="00B83904" w:rsidRPr="006439B0">
        <w:rPr>
          <w:rFonts w:ascii="Times New Roman" w:hAnsi="Times New Roman" w:cs="Times New Roman"/>
          <w:color w:val="000000" w:themeColor="text1"/>
          <w:sz w:val="28"/>
          <w:szCs w:val="28"/>
        </w:rPr>
        <w:t>–</w:t>
      </w:r>
      <w:r w:rsidRPr="006439B0">
        <w:rPr>
          <w:rFonts w:ascii="Times New Roman" w:hAnsi="Times New Roman" w:cs="Times New Roman"/>
          <w:color w:val="000000" w:themeColor="text1"/>
          <w:sz w:val="28"/>
          <w:szCs w:val="28"/>
        </w:rPr>
        <w:t xml:space="preserve"> 2</w:t>
      </w:r>
      <w:r w:rsidR="00B83904" w:rsidRPr="006439B0">
        <w:rPr>
          <w:rFonts w:ascii="Times New Roman" w:hAnsi="Times New Roman" w:cs="Times New Roman"/>
          <w:color w:val="000000" w:themeColor="text1"/>
          <w:sz w:val="28"/>
          <w:szCs w:val="28"/>
        </w:rPr>
        <w:t>018-</w:t>
      </w:r>
      <w:r w:rsidRPr="006439B0">
        <w:rPr>
          <w:rFonts w:ascii="Times New Roman" w:hAnsi="Times New Roman" w:cs="Times New Roman"/>
          <w:color w:val="000000" w:themeColor="text1"/>
          <w:sz w:val="28"/>
          <w:szCs w:val="28"/>
        </w:rPr>
        <w:t>2024 годы.</w:t>
      </w: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6439B0">
        <w:rPr>
          <w:rFonts w:ascii="Times New Roman" w:eastAsiaTheme="minorHAnsi" w:hAnsi="Times New Roman" w:cs="Times New Roman"/>
          <w:color w:val="000000" w:themeColor="text1"/>
          <w:sz w:val="28"/>
          <w:szCs w:val="28"/>
          <w:lang w:eastAsia="en-US"/>
        </w:rPr>
        <w:t>Государственный заказчик Программы:</w:t>
      </w:r>
      <w:r w:rsidRPr="006439B0">
        <w:rPr>
          <w:rFonts w:ascii="Times New Roman" w:hAnsi="Times New Roman" w:cs="Times New Roman"/>
          <w:color w:val="000000" w:themeColor="text1"/>
          <w:sz w:val="28"/>
          <w:szCs w:val="28"/>
        </w:rPr>
        <w:t xml:space="preserve"> </w:t>
      </w:r>
      <w:r w:rsidRPr="006439B0">
        <w:rPr>
          <w:rFonts w:ascii="Times New Roman" w:eastAsiaTheme="minorHAnsi" w:hAnsi="Times New Roman" w:cs="Times New Roman"/>
          <w:color w:val="000000" w:themeColor="text1"/>
          <w:sz w:val="28"/>
          <w:szCs w:val="28"/>
          <w:lang w:eastAsia="en-US"/>
        </w:rPr>
        <w:t>Министерство строительства Республики Тыва.</w:t>
      </w: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6439B0">
        <w:rPr>
          <w:rFonts w:ascii="Times New Roman" w:eastAsiaTheme="minorHAnsi" w:hAnsi="Times New Roman" w:cs="Times New Roman"/>
          <w:color w:val="000000" w:themeColor="text1"/>
          <w:sz w:val="28"/>
          <w:szCs w:val="28"/>
          <w:lang w:eastAsia="en-US"/>
        </w:rPr>
        <w:t>Ответственный исполнитель Программы: Министерство строительства Республики Тыва.</w:t>
      </w: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6439B0">
        <w:rPr>
          <w:rFonts w:ascii="Times New Roman" w:eastAsiaTheme="minorHAnsi" w:hAnsi="Times New Roman" w:cs="Times New Roman"/>
          <w:color w:val="000000" w:themeColor="text1"/>
          <w:sz w:val="28"/>
          <w:szCs w:val="28"/>
          <w:lang w:eastAsia="en-US"/>
        </w:rPr>
        <w:t xml:space="preserve">Соисполнители Программы: Министерство дорожно-транспортного комплекса Республики Тыва, Министерство цифрового развития Республики Тыва, органы местного самоуправления муниципальных образований Республики Тыва (по согласованию), государственное казенное учреждение Республики Тыва </w:t>
      </w:r>
      <w:r w:rsidR="00A959A0" w:rsidRPr="006439B0">
        <w:rPr>
          <w:rFonts w:ascii="Times New Roman" w:eastAsiaTheme="minorHAnsi" w:hAnsi="Times New Roman" w:cs="Times New Roman"/>
          <w:color w:val="000000" w:themeColor="text1"/>
          <w:sz w:val="28"/>
          <w:szCs w:val="28"/>
          <w:lang w:eastAsia="en-US"/>
        </w:rPr>
        <w:t>«</w:t>
      </w:r>
      <w:r w:rsidRPr="006439B0">
        <w:rPr>
          <w:rFonts w:ascii="Times New Roman" w:eastAsiaTheme="minorHAnsi" w:hAnsi="Times New Roman" w:cs="Times New Roman"/>
          <w:color w:val="000000" w:themeColor="text1"/>
          <w:sz w:val="28"/>
          <w:szCs w:val="28"/>
          <w:lang w:eastAsia="en-US"/>
        </w:rPr>
        <w:t>Госстройзаказ</w:t>
      </w:r>
      <w:r w:rsidR="00A959A0" w:rsidRPr="006439B0">
        <w:rPr>
          <w:rFonts w:ascii="Times New Roman" w:eastAsiaTheme="minorHAnsi" w:hAnsi="Times New Roman" w:cs="Times New Roman"/>
          <w:color w:val="000000" w:themeColor="text1"/>
          <w:sz w:val="28"/>
          <w:szCs w:val="28"/>
          <w:lang w:eastAsia="en-US"/>
        </w:rPr>
        <w:t>»</w:t>
      </w:r>
      <w:r w:rsidRPr="006439B0">
        <w:rPr>
          <w:rFonts w:ascii="Times New Roman" w:eastAsiaTheme="minorHAnsi" w:hAnsi="Times New Roman" w:cs="Times New Roman"/>
          <w:color w:val="000000" w:themeColor="text1"/>
          <w:sz w:val="28"/>
          <w:szCs w:val="28"/>
          <w:lang w:eastAsia="en-US"/>
        </w:rPr>
        <w:t>.</w:t>
      </w: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6439B0">
        <w:rPr>
          <w:rFonts w:ascii="Times New Roman" w:eastAsiaTheme="minorHAnsi" w:hAnsi="Times New Roman" w:cs="Times New Roman"/>
          <w:color w:val="000000" w:themeColor="text1"/>
          <w:sz w:val="28"/>
          <w:szCs w:val="28"/>
          <w:lang w:eastAsia="en-US"/>
        </w:rPr>
        <w:t xml:space="preserve">Участники Программы: муниципальные образования Республики Тыва (по согласованию), муниципальные унитарные предприятия (по согласованию), управляющие компании (по согласованию), товарищества собственников жилья (по согласованию), жилищно-строительные кооперативы (по согласованию), проектные институты, архитекторы, дизайнеры (по согласованию), собственники жилых и нежилых помещений (по согласованию), индивидуальные предприниматели (по согласованию), общественные организации и объединения (по согласованию), подрядные организации (по согласованию), государственное казенное учреждение Республики Тыва </w:t>
      </w:r>
      <w:r w:rsidR="00A959A0" w:rsidRPr="006439B0">
        <w:rPr>
          <w:rFonts w:ascii="Times New Roman" w:eastAsiaTheme="minorHAnsi" w:hAnsi="Times New Roman" w:cs="Times New Roman"/>
          <w:color w:val="000000" w:themeColor="text1"/>
          <w:sz w:val="28"/>
          <w:szCs w:val="28"/>
          <w:lang w:eastAsia="en-US"/>
        </w:rPr>
        <w:t>«</w:t>
      </w:r>
      <w:r w:rsidRPr="006439B0">
        <w:rPr>
          <w:rFonts w:ascii="Times New Roman" w:eastAsiaTheme="minorHAnsi" w:hAnsi="Times New Roman" w:cs="Times New Roman"/>
          <w:color w:val="000000" w:themeColor="text1"/>
          <w:sz w:val="28"/>
          <w:szCs w:val="28"/>
          <w:lang w:eastAsia="en-US"/>
        </w:rPr>
        <w:t>Госстройзаказ</w:t>
      </w:r>
      <w:r w:rsidR="00A959A0" w:rsidRPr="006439B0">
        <w:rPr>
          <w:rFonts w:ascii="Times New Roman" w:eastAsiaTheme="minorHAnsi" w:hAnsi="Times New Roman" w:cs="Times New Roman"/>
          <w:color w:val="000000" w:themeColor="text1"/>
          <w:sz w:val="28"/>
          <w:szCs w:val="28"/>
          <w:lang w:eastAsia="en-US"/>
        </w:rPr>
        <w:t>»</w:t>
      </w:r>
      <w:r w:rsidRPr="006439B0">
        <w:rPr>
          <w:rFonts w:ascii="Times New Roman" w:eastAsiaTheme="minorHAnsi" w:hAnsi="Times New Roman" w:cs="Times New Roman"/>
          <w:color w:val="000000" w:themeColor="text1"/>
          <w:sz w:val="28"/>
          <w:szCs w:val="28"/>
          <w:lang w:eastAsia="en-US"/>
        </w:rPr>
        <w:t>.</w:t>
      </w: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6439B0">
        <w:rPr>
          <w:rFonts w:ascii="Times New Roman" w:eastAsiaTheme="minorHAnsi" w:hAnsi="Times New Roman" w:cs="Times New Roman"/>
          <w:bCs/>
          <w:color w:val="000000" w:themeColor="text1"/>
          <w:sz w:val="28"/>
          <w:szCs w:val="28"/>
          <w:lang w:eastAsia="en-US"/>
        </w:rPr>
        <w:t>Сро</w:t>
      </w:r>
      <w:r w:rsidR="00097452" w:rsidRPr="006439B0">
        <w:rPr>
          <w:rFonts w:ascii="Times New Roman" w:eastAsiaTheme="minorHAnsi" w:hAnsi="Times New Roman" w:cs="Times New Roman"/>
          <w:bCs/>
          <w:color w:val="000000" w:themeColor="text1"/>
          <w:sz w:val="28"/>
          <w:szCs w:val="28"/>
          <w:lang w:eastAsia="en-US"/>
        </w:rPr>
        <w:t>ки реализации Программы: 2018-</w:t>
      </w:r>
      <w:r w:rsidRPr="006439B0">
        <w:rPr>
          <w:rFonts w:ascii="Times New Roman" w:eastAsiaTheme="minorHAnsi" w:hAnsi="Times New Roman" w:cs="Times New Roman"/>
          <w:bCs/>
          <w:color w:val="000000" w:themeColor="text1"/>
          <w:sz w:val="28"/>
          <w:szCs w:val="28"/>
          <w:lang w:eastAsia="en-US"/>
        </w:rPr>
        <w:t>2024 годы.</w:t>
      </w: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6439B0">
        <w:rPr>
          <w:rFonts w:ascii="Times New Roman" w:eastAsiaTheme="minorHAnsi" w:hAnsi="Times New Roman" w:cs="Times New Roman"/>
          <w:bCs/>
          <w:color w:val="000000" w:themeColor="text1"/>
          <w:sz w:val="28"/>
          <w:szCs w:val="28"/>
          <w:lang w:eastAsia="en-US"/>
        </w:rPr>
        <w:t>Основные цели Программы:</w:t>
      </w: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6439B0">
        <w:rPr>
          <w:rFonts w:ascii="Times New Roman" w:eastAsiaTheme="minorHAnsi" w:hAnsi="Times New Roman" w:cs="Times New Roman"/>
          <w:color w:val="000000" w:themeColor="text1"/>
          <w:sz w:val="28"/>
          <w:szCs w:val="28"/>
          <w:lang w:eastAsia="en-US"/>
        </w:rPr>
        <w:t xml:space="preserve">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муниципальных образований Республики Тыва путем реализации проектов по благоустройству дворовых территорий и территорий общего пользования и мест массового отдыха населения (городских парков) муниципальных образований Республики Тыва и реализация проектов благоустройства муниципальных образований </w:t>
      </w:r>
      <w:r w:rsidR="00097452" w:rsidRPr="006439B0">
        <w:rPr>
          <w:rFonts w:ascii="Times New Roman" w:eastAsiaTheme="minorHAnsi" w:hAnsi="Times New Roman" w:cs="Times New Roman"/>
          <w:color w:val="000000" w:themeColor="text1"/>
          <w:sz w:val="28"/>
          <w:szCs w:val="28"/>
          <w:lang w:eastAsia="en-US"/>
        </w:rPr>
        <w:t>–</w:t>
      </w:r>
      <w:r w:rsidRPr="006439B0">
        <w:rPr>
          <w:rFonts w:ascii="Times New Roman" w:eastAsiaTheme="minorHAnsi" w:hAnsi="Times New Roman" w:cs="Times New Roman"/>
          <w:color w:val="000000" w:themeColor="text1"/>
          <w:sz w:val="28"/>
          <w:szCs w:val="28"/>
          <w:lang w:eastAsia="en-US"/>
        </w:rPr>
        <w:t xml:space="preserve"> победителей Всероссийского конкурса лучших про</w:t>
      </w:r>
      <w:r w:rsidRPr="006439B0">
        <w:rPr>
          <w:rFonts w:ascii="Times New Roman" w:eastAsiaTheme="minorHAnsi" w:hAnsi="Times New Roman" w:cs="Times New Roman"/>
          <w:color w:val="000000" w:themeColor="text1"/>
          <w:sz w:val="28"/>
          <w:szCs w:val="28"/>
          <w:lang w:eastAsia="en-US"/>
        </w:rPr>
        <w:lastRenderedPageBreak/>
        <w:t>ектов создания комфортной городской среды в малых городах и исторических поселениях муниципальных образований Республики Тыва.</w:t>
      </w: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6439B0">
        <w:rPr>
          <w:rFonts w:ascii="Times New Roman" w:eastAsiaTheme="minorHAnsi" w:hAnsi="Times New Roman" w:cs="Times New Roman"/>
          <w:bCs/>
          <w:color w:val="000000" w:themeColor="text1"/>
          <w:sz w:val="28"/>
          <w:szCs w:val="28"/>
          <w:lang w:eastAsia="en-US"/>
        </w:rPr>
        <w:t>Ожидаемый эффект Программы:</w:t>
      </w:r>
    </w:p>
    <w:p w:rsidR="00961808" w:rsidRPr="006439B0" w:rsidRDefault="00A72B9C"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повышение уровня благоустройства территорий муниципальных образований Республики Тыва:</w:t>
      </w:r>
    </w:p>
    <w:p w:rsidR="00961808" w:rsidRPr="006439B0" w:rsidRDefault="00A72B9C"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увеличение количества благоустроенных дворовых территорий на 60 процентов;</w:t>
      </w:r>
    </w:p>
    <w:p w:rsidR="00961808" w:rsidRPr="006439B0" w:rsidRDefault="00A72B9C"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увеличение количества благоустроенных общественных территорий на 60 процентов</w:t>
      </w:r>
      <w:r w:rsidR="00DD470D">
        <w:rPr>
          <w:rFonts w:ascii="Times New Roman" w:eastAsiaTheme="minorHAnsi" w:hAnsi="Times New Roman" w:cs="Times New Roman"/>
          <w:iCs/>
          <w:color w:val="000000" w:themeColor="text1"/>
          <w:sz w:val="28"/>
          <w:szCs w:val="28"/>
          <w:lang w:eastAsia="en-US"/>
        </w:rPr>
        <w:t>, в том числе по годам</w:t>
      </w:r>
      <w:r w:rsidRPr="006439B0">
        <w:rPr>
          <w:rFonts w:ascii="Times New Roman" w:eastAsiaTheme="minorHAnsi" w:hAnsi="Times New Roman" w:cs="Times New Roman"/>
          <w:iCs/>
          <w:color w:val="000000" w:themeColor="text1"/>
          <w:sz w:val="28"/>
          <w:szCs w:val="28"/>
          <w:lang w:eastAsia="en-US"/>
        </w:rPr>
        <w:t>:</w:t>
      </w:r>
    </w:p>
    <w:p w:rsidR="00961808" w:rsidRPr="006439B0" w:rsidRDefault="00A72B9C"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 xml:space="preserve">в 2018 году </w:t>
      </w:r>
      <w:r w:rsidR="00097452" w:rsidRPr="006439B0">
        <w:rPr>
          <w:rFonts w:ascii="Times New Roman" w:eastAsiaTheme="minorHAnsi" w:hAnsi="Times New Roman" w:cs="Times New Roman"/>
          <w:iCs/>
          <w:color w:val="000000" w:themeColor="text1"/>
          <w:sz w:val="28"/>
          <w:szCs w:val="28"/>
          <w:lang w:eastAsia="en-US"/>
        </w:rPr>
        <w:t>–</w:t>
      </w:r>
      <w:r w:rsidRPr="006439B0">
        <w:rPr>
          <w:rFonts w:ascii="Times New Roman" w:eastAsiaTheme="minorHAnsi" w:hAnsi="Times New Roman" w:cs="Times New Roman"/>
          <w:iCs/>
          <w:color w:val="000000" w:themeColor="text1"/>
          <w:sz w:val="28"/>
          <w:szCs w:val="28"/>
          <w:lang w:eastAsia="en-US"/>
        </w:rPr>
        <w:t xml:space="preserve"> 10 процентов;</w:t>
      </w:r>
    </w:p>
    <w:p w:rsidR="00961808" w:rsidRPr="006439B0" w:rsidRDefault="00A72B9C"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 xml:space="preserve">в 2019 году </w:t>
      </w:r>
      <w:r w:rsidR="00097452" w:rsidRPr="006439B0">
        <w:rPr>
          <w:rFonts w:ascii="Times New Roman" w:eastAsiaTheme="minorHAnsi" w:hAnsi="Times New Roman" w:cs="Times New Roman"/>
          <w:iCs/>
          <w:color w:val="000000" w:themeColor="text1"/>
          <w:sz w:val="28"/>
          <w:szCs w:val="28"/>
          <w:lang w:eastAsia="en-US"/>
        </w:rPr>
        <w:t>–</w:t>
      </w:r>
      <w:r w:rsidRPr="006439B0">
        <w:rPr>
          <w:rFonts w:ascii="Times New Roman" w:eastAsiaTheme="minorHAnsi" w:hAnsi="Times New Roman" w:cs="Times New Roman"/>
          <w:iCs/>
          <w:color w:val="000000" w:themeColor="text1"/>
          <w:sz w:val="28"/>
          <w:szCs w:val="28"/>
          <w:lang w:eastAsia="en-US"/>
        </w:rPr>
        <w:t xml:space="preserve"> 15 процентов;</w:t>
      </w:r>
    </w:p>
    <w:p w:rsidR="00961808" w:rsidRPr="006439B0" w:rsidRDefault="00A72B9C"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 xml:space="preserve">в 2020 году </w:t>
      </w:r>
      <w:r w:rsidR="00097452" w:rsidRPr="006439B0">
        <w:rPr>
          <w:rFonts w:ascii="Times New Roman" w:eastAsiaTheme="minorHAnsi" w:hAnsi="Times New Roman" w:cs="Times New Roman"/>
          <w:iCs/>
          <w:color w:val="000000" w:themeColor="text1"/>
          <w:sz w:val="28"/>
          <w:szCs w:val="28"/>
          <w:lang w:eastAsia="en-US"/>
        </w:rPr>
        <w:t>–</w:t>
      </w:r>
      <w:r w:rsidRPr="006439B0">
        <w:rPr>
          <w:rFonts w:ascii="Times New Roman" w:eastAsiaTheme="minorHAnsi" w:hAnsi="Times New Roman" w:cs="Times New Roman"/>
          <w:iCs/>
          <w:color w:val="000000" w:themeColor="text1"/>
          <w:sz w:val="28"/>
          <w:szCs w:val="28"/>
          <w:lang w:eastAsia="en-US"/>
        </w:rPr>
        <w:t xml:space="preserve"> 20 процентов;</w:t>
      </w:r>
    </w:p>
    <w:p w:rsidR="00961808" w:rsidRPr="006439B0" w:rsidRDefault="00A72B9C"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 xml:space="preserve">в 2021 году </w:t>
      </w:r>
      <w:r w:rsidR="00097452" w:rsidRPr="006439B0">
        <w:rPr>
          <w:rFonts w:ascii="Times New Roman" w:eastAsiaTheme="minorHAnsi" w:hAnsi="Times New Roman" w:cs="Times New Roman"/>
          <w:iCs/>
          <w:color w:val="000000" w:themeColor="text1"/>
          <w:sz w:val="28"/>
          <w:szCs w:val="28"/>
          <w:lang w:eastAsia="en-US"/>
        </w:rPr>
        <w:t>–</w:t>
      </w:r>
      <w:r w:rsidRPr="006439B0">
        <w:rPr>
          <w:rFonts w:ascii="Times New Roman" w:eastAsiaTheme="minorHAnsi" w:hAnsi="Times New Roman" w:cs="Times New Roman"/>
          <w:iCs/>
          <w:color w:val="000000" w:themeColor="text1"/>
          <w:sz w:val="28"/>
          <w:szCs w:val="28"/>
          <w:lang w:eastAsia="en-US"/>
        </w:rPr>
        <w:t xml:space="preserve"> 25 процентов;</w:t>
      </w:r>
    </w:p>
    <w:p w:rsidR="00961808" w:rsidRPr="006439B0" w:rsidRDefault="00A72B9C"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 xml:space="preserve">в 2022 году </w:t>
      </w:r>
      <w:r w:rsidR="00097452" w:rsidRPr="006439B0">
        <w:rPr>
          <w:rFonts w:ascii="Times New Roman" w:eastAsiaTheme="minorHAnsi" w:hAnsi="Times New Roman" w:cs="Times New Roman"/>
          <w:iCs/>
          <w:color w:val="000000" w:themeColor="text1"/>
          <w:sz w:val="28"/>
          <w:szCs w:val="28"/>
          <w:lang w:eastAsia="en-US"/>
        </w:rPr>
        <w:t>–</w:t>
      </w:r>
      <w:r w:rsidRPr="006439B0">
        <w:rPr>
          <w:rFonts w:ascii="Times New Roman" w:eastAsiaTheme="minorHAnsi" w:hAnsi="Times New Roman" w:cs="Times New Roman"/>
          <w:iCs/>
          <w:color w:val="000000" w:themeColor="text1"/>
          <w:sz w:val="28"/>
          <w:szCs w:val="28"/>
          <w:lang w:eastAsia="en-US"/>
        </w:rPr>
        <w:t xml:space="preserve"> 35 процентов;</w:t>
      </w:r>
    </w:p>
    <w:p w:rsidR="00961808" w:rsidRPr="006439B0" w:rsidRDefault="00A72B9C"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 xml:space="preserve">в 2023 году </w:t>
      </w:r>
      <w:r w:rsidR="00097452" w:rsidRPr="006439B0">
        <w:rPr>
          <w:rFonts w:ascii="Times New Roman" w:eastAsiaTheme="minorHAnsi" w:hAnsi="Times New Roman" w:cs="Times New Roman"/>
          <w:iCs/>
          <w:color w:val="000000" w:themeColor="text1"/>
          <w:sz w:val="28"/>
          <w:szCs w:val="28"/>
          <w:lang w:eastAsia="en-US"/>
        </w:rPr>
        <w:t>–</w:t>
      </w:r>
      <w:r w:rsidRPr="006439B0">
        <w:rPr>
          <w:rFonts w:ascii="Times New Roman" w:eastAsiaTheme="minorHAnsi" w:hAnsi="Times New Roman" w:cs="Times New Roman"/>
          <w:iCs/>
          <w:color w:val="000000" w:themeColor="text1"/>
          <w:sz w:val="28"/>
          <w:szCs w:val="28"/>
          <w:lang w:eastAsia="en-US"/>
        </w:rPr>
        <w:t xml:space="preserve"> 45 процентов;</w:t>
      </w:r>
    </w:p>
    <w:p w:rsidR="00961808" w:rsidRPr="006439B0" w:rsidRDefault="00A72B9C"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 xml:space="preserve">в 2024 году </w:t>
      </w:r>
      <w:r w:rsidR="00097452" w:rsidRPr="006439B0">
        <w:rPr>
          <w:rFonts w:ascii="Times New Roman" w:eastAsiaTheme="minorHAnsi" w:hAnsi="Times New Roman" w:cs="Times New Roman"/>
          <w:iCs/>
          <w:color w:val="000000" w:themeColor="text1"/>
          <w:sz w:val="28"/>
          <w:szCs w:val="28"/>
          <w:lang w:eastAsia="en-US"/>
        </w:rPr>
        <w:t>–</w:t>
      </w:r>
      <w:r w:rsidRPr="006439B0">
        <w:rPr>
          <w:rFonts w:ascii="Times New Roman" w:eastAsiaTheme="minorHAnsi" w:hAnsi="Times New Roman" w:cs="Times New Roman"/>
          <w:iCs/>
          <w:color w:val="000000" w:themeColor="text1"/>
          <w:sz w:val="28"/>
          <w:szCs w:val="28"/>
          <w:lang w:eastAsia="en-US"/>
        </w:rPr>
        <w:t xml:space="preserve"> 60 процентов;</w:t>
      </w:r>
    </w:p>
    <w:p w:rsidR="00961808" w:rsidRPr="006439B0" w:rsidRDefault="00A72B9C"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 xml:space="preserve">увеличение доли дворовых и общественных территорий в муниципальных образованиях Республики Тыва, в которых созданы условия для беспрепятственного доступа инвалидов и других </w:t>
      </w:r>
      <w:r w:rsidR="00097452" w:rsidRPr="006439B0">
        <w:rPr>
          <w:rFonts w:ascii="Times New Roman" w:eastAsiaTheme="minorHAnsi" w:hAnsi="Times New Roman" w:cs="Times New Roman"/>
          <w:iCs/>
          <w:color w:val="000000" w:themeColor="text1"/>
          <w:sz w:val="28"/>
          <w:szCs w:val="28"/>
          <w:lang w:eastAsia="en-US"/>
        </w:rPr>
        <w:t xml:space="preserve">маломобильных групп населения, </w:t>
      </w:r>
      <w:r w:rsidR="003B3D65">
        <w:rPr>
          <w:rFonts w:ascii="Times New Roman" w:eastAsiaTheme="minorHAnsi" w:hAnsi="Times New Roman" w:cs="Times New Roman"/>
          <w:iCs/>
          <w:color w:val="000000" w:themeColor="text1"/>
          <w:sz w:val="28"/>
          <w:szCs w:val="28"/>
          <w:lang w:eastAsia="en-US"/>
        </w:rPr>
        <w:t>на</w:t>
      </w:r>
      <w:r w:rsidRPr="006439B0">
        <w:rPr>
          <w:rFonts w:ascii="Times New Roman" w:eastAsiaTheme="minorHAnsi" w:hAnsi="Times New Roman" w:cs="Times New Roman"/>
          <w:iCs/>
          <w:color w:val="000000" w:themeColor="text1"/>
          <w:sz w:val="28"/>
          <w:szCs w:val="28"/>
          <w:lang w:eastAsia="en-US"/>
        </w:rPr>
        <w:t xml:space="preserve"> 15 процентов;</w:t>
      </w:r>
    </w:p>
    <w:p w:rsidR="00961808" w:rsidRPr="006439B0" w:rsidRDefault="00A72B9C"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 xml:space="preserve">вовлечение заинтересованных граждан, организаций в реализацию мероприятий по благоустройству территорий в муниципальных образованиях Республики Тыва </w:t>
      </w:r>
      <w:r w:rsidR="00097452" w:rsidRPr="006439B0">
        <w:rPr>
          <w:rFonts w:ascii="Times New Roman" w:eastAsiaTheme="minorHAnsi" w:hAnsi="Times New Roman" w:cs="Times New Roman"/>
          <w:iCs/>
          <w:color w:val="000000" w:themeColor="text1"/>
          <w:sz w:val="28"/>
          <w:szCs w:val="28"/>
          <w:lang w:eastAsia="en-US"/>
        </w:rPr>
        <w:t>–</w:t>
      </w:r>
      <w:r w:rsidRPr="006439B0">
        <w:rPr>
          <w:rFonts w:ascii="Times New Roman" w:eastAsiaTheme="minorHAnsi" w:hAnsi="Times New Roman" w:cs="Times New Roman"/>
          <w:iCs/>
          <w:color w:val="000000" w:themeColor="text1"/>
          <w:sz w:val="28"/>
          <w:szCs w:val="28"/>
          <w:lang w:eastAsia="en-US"/>
        </w:rPr>
        <w:t xml:space="preserve"> 75 процентов.</w:t>
      </w:r>
    </w:p>
    <w:p w:rsidR="00961808" w:rsidRPr="006439B0" w:rsidRDefault="00A72B9C"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 xml:space="preserve">реализация проектов муниципальных образований </w:t>
      </w:r>
      <w:r w:rsidR="00097452" w:rsidRPr="006439B0">
        <w:rPr>
          <w:rFonts w:ascii="Times New Roman" w:eastAsiaTheme="minorHAnsi" w:hAnsi="Times New Roman" w:cs="Times New Roman"/>
          <w:iCs/>
          <w:color w:val="000000" w:themeColor="text1"/>
          <w:sz w:val="28"/>
          <w:szCs w:val="28"/>
          <w:lang w:eastAsia="en-US"/>
        </w:rPr>
        <w:t>–</w:t>
      </w:r>
      <w:r w:rsidRPr="006439B0">
        <w:rPr>
          <w:rFonts w:ascii="Times New Roman" w:eastAsiaTheme="minorHAnsi" w:hAnsi="Times New Roman" w:cs="Times New Roman"/>
          <w:iCs/>
          <w:color w:val="000000" w:themeColor="text1"/>
          <w:sz w:val="28"/>
          <w:szCs w:val="28"/>
          <w:lang w:eastAsia="en-US"/>
        </w:rPr>
        <w:t xml:space="preserve"> победителей Всероссийского конкурса лучших проектов создания комфортной городской среды в малых горо</w:t>
      </w:r>
      <w:r w:rsidR="00097452" w:rsidRPr="006439B0">
        <w:rPr>
          <w:rFonts w:ascii="Times New Roman" w:eastAsiaTheme="minorHAnsi" w:hAnsi="Times New Roman" w:cs="Times New Roman"/>
          <w:iCs/>
          <w:color w:val="000000" w:themeColor="text1"/>
          <w:sz w:val="28"/>
          <w:szCs w:val="28"/>
          <w:lang w:eastAsia="en-US"/>
        </w:rPr>
        <w:t>дах и исторических поселениях, –</w:t>
      </w:r>
      <w:r w:rsidRPr="006439B0">
        <w:rPr>
          <w:rFonts w:ascii="Times New Roman" w:eastAsiaTheme="minorHAnsi" w:hAnsi="Times New Roman" w:cs="Times New Roman"/>
          <w:iCs/>
          <w:color w:val="000000" w:themeColor="text1"/>
          <w:sz w:val="28"/>
          <w:szCs w:val="28"/>
          <w:lang w:eastAsia="en-US"/>
        </w:rPr>
        <w:t xml:space="preserve"> 2 ед.</w:t>
      </w:r>
    </w:p>
    <w:p w:rsidR="00961808" w:rsidRPr="006439B0" w:rsidRDefault="00961808" w:rsidP="000A1B00">
      <w:pPr>
        <w:shd w:val="clear" w:color="auto" w:fill="FFFFFF" w:themeFill="background1"/>
        <w:suppressAutoHyphens w:val="0"/>
        <w:spacing w:after="0" w:line="240" w:lineRule="auto"/>
        <w:jc w:val="center"/>
        <w:outlineLvl w:val="0"/>
        <w:rPr>
          <w:rFonts w:ascii="Times New Roman" w:eastAsiaTheme="minorHAnsi" w:hAnsi="Times New Roman" w:cs="Times New Roman"/>
          <w:bCs/>
          <w:color w:val="000000" w:themeColor="text1"/>
          <w:sz w:val="28"/>
          <w:szCs w:val="28"/>
          <w:lang w:eastAsia="en-US"/>
        </w:rPr>
      </w:pPr>
    </w:p>
    <w:p w:rsidR="00097452" w:rsidRPr="006439B0" w:rsidRDefault="00A72B9C" w:rsidP="000A1B00">
      <w:pPr>
        <w:shd w:val="clear" w:color="auto" w:fill="FFFFFF" w:themeFill="background1"/>
        <w:suppressAutoHyphens w:val="0"/>
        <w:spacing w:after="0" w:line="240" w:lineRule="auto"/>
        <w:jc w:val="center"/>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2. Результаты реализации государственной</w:t>
      </w:r>
    </w:p>
    <w:p w:rsidR="00097452" w:rsidRPr="006439B0" w:rsidRDefault="00A72B9C" w:rsidP="000A1B00">
      <w:pPr>
        <w:shd w:val="clear" w:color="auto" w:fill="FFFFFF" w:themeFill="background1"/>
        <w:suppressAutoHyphens w:val="0"/>
        <w:spacing w:after="0" w:line="240" w:lineRule="auto"/>
        <w:jc w:val="center"/>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 xml:space="preserve"> программы </w:t>
      </w:r>
      <w:r w:rsidR="00A959A0" w:rsidRPr="006439B0">
        <w:rPr>
          <w:rFonts w:ascii="Times New Roman" w:eastAsiaTheme="minorHAnsi" w:hAnsi="Times New Roman" w:cs="Times New Roman"/>
          <w:iCs/>
          <w:color w:val="000000" w:themeColor="text1"/>
          <w:sz w:val="28"/>
          <w:szCs w:val="28"/>
          <w:lang w:eastAsia="en-US"/>
        </w:rPr>
        <w:t>«</w:t>
      </w:r>
      <w:r w:rsidRPr="006439B0">
        <w:rPr>
          <w:rFonts w:ascii="Times New Roman" w:eastAsiaTheme="minorHAnsi" w:hAnsi="Times New Roman" w:cs="Times New Roman"/>
          <w:iCs/>
          <w:color w:val="000000" w:themeColor="text1"/>
          <w:sz w:val="28"/>
          <w:szCs w:val="28"/>
          <w:lang w:eastAsia="en-US"/>
        </w:rPr>
        <w:t>Формирование современной</w:t>
      </w:r>
    </w:p>
    <w:p w:rsidR="003B3D65" w:rsidRDefault="00A72B9C" w:rsidP="000A1B00">
      <w:pPr>
        <w:shd w:val="clear" w:color="auto" w:fill="FFFFFF" w:themeFill="background1"/>
        <w:suppressAutoHyphens w:val="0"/>
        <w:spacing w:after="0" w:line="240" w:lineRule="auto"/>
        <w:jc w:val="center"/>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 xml:space="preserve"> городской среды за 2018-2024 годы</w:t>
      </w:r>
      <w:r w:rsidR="00A959A0" w:rsidRPr="006439B0">
        <w:rPr>
          <w:rFonts w:ascii="Times New Roman" w:eastAsiaTheme="minorHAnsi" w:hAnsi="Times New Roman" w:cs="Times New Roman"/>
          <w:iCs/>
          <w:color w:val="000000" w:themeColor="text1"/>
          <w:sz w:val="28"/>
          <w:szCs w:val="28"/>
          <w:lang w:eastAsia="en-US"/>
        </w:rPr>
        <w:t>»</w:t>
      </w:r>
      <w:r w:rsidRPr="006439B0">
        <w:rPr>
          <w:rFonts w:ascii="Times New Roman" w:eastAsiaTheme="minorHAnsi" w:hAnsi="Times New Roman" w:cs="Times New Roman"/>
          <w:iCs/>
          <w:color w:val="000000" w:themeColor="text1"/>
          <w:sz w:val="28"/>
          <w:szCs w:val="28"/>
          <w:lang w:eastAsia="en-US"/>
        </w:rPr>
        <w:t xml:space="preserve"> </w:t>
      </w:r>
    </w:p>
    <w:p w:rsidR="00961808" w:rsidRPr="006439B0" w:rsidRDefault="00A72B9C" w:rsidP="000A1B00">
      <w:pPr>
        <w:shd w:val="clear" w:color="auto" w:fill="FFFFFF" w:themeFill="background1"/>
        <w:suppressAutoHyphens w:val="0"/>
        <w:spacing w:after="0" w:line="240" w:lineRule="auto"/>
        <w:jc w:val="center"/>
        <w:outlineLvl w:val="0"/>
        <w:rPr>
          <w:rFonts w:ascii="Times New Roman" w:eastAsiaTheme="minorHAnsi" w:hAnsi="Times New Roman" w:cs="Times New Roman"/>
          <w:iCs/>
          <w:color w:val="000000" w:themeColor="text1"/>
          <w:sz w:val="28"/>
          <w:szCs w:val="28"/>
          <w:lang w:eastAsia="en-US"/>
        </w:rPr>
      </w:pPr>
      <w:r w:rsidRPr="006439B0">
        <w:rPr>
          <w:rFonts w:ascii="Times New Roman" w:eastAsiaTheme="minorHAnsi" w:hAnsi="Times New Roman" w:cs="Times New Roman"/>
          <w:iCs/>
          <w:color w:val="000000" w:themeColor="text1"/>
          <w:sz w:val="28"/>
          <w:szCs w:val="28"/>
          <w:lang w:eastAsia="en-US"/>
        </w:rPr>
        <w:t>за период 2018-2023 годы</w:t>
      </w:r>
    </w:p>
    <w:p w:rsidR="00961808" w:rsidRPr="006439B0" w:rsidRDefault="00961808" w:rsidP="000A1B00">
      <w:pPr>
        <w:shd w:val="clear" w:color="auto" w:fill="FFFFFF" w:themeFill="background1"/>
        <w:suppressAutoHyphens w:val="0"/>
        <w:spacing w:after="0" w:line="240" w:lineRule="auto"/>
        <w:jc w:val="center"/>
        <w:outlineLvl w:val="0"/>
        <w:rPr>
          <w:rFonts w:ascii="Times New Roman" w:eastAsiaTheme="minorHAnsi" w:hAnsi="Times New Roman" w:cs="Times New Roman"/>
          <w:iCs/>
          <w:color w:val="000000" w:themeColor="text1"/>
          <w:sz w:val="28"/>
          <w:szCs w:val="28"/>
          <w:lang w:eastAsia="en-US"/>
        </w:rPr>
      </w:pP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bCs/>
          <w:color w:val="000000" w:themeColor="text1"/>
          <w:sz w:val="28"/>
          <w:szCs w:val="28"/>
          <w:lang w:eastAsia="en-US"/>
        </w:rPr>
      </w:pPr>
      <w:r w:rsidRPr="006439B0">
        <w:rPr>
          <w:rFonts w:ascii="Times New Roman" w:eastAsiaTheme="minorHAnsi" w:hAnsi="Times New Roman" w:cs="Times New Roman"/>
          <w:bCs/>
          <w:color w:val="000000" w:themeColor="text1"/>
          <w:sz w:val="28"/>
          <w:szCs w:val="28"/>
          <w:lang w:eastAsia="en-US"/>
        </w:rPr>
        <w:t>За период с 2018 года по 2023 год реализованы мероприятия по благоустройству 145 общественных территорий городов и районов республики, являющихся местами массового посещения населения</w:t>
      </w:r>
      <w:r w:rsidR="003B3D65">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 xml:space="preserve"> и 2 проекта муниципального образования </w:t>
      </w:r>
      <w:r w:rsidR="00097452" w:rsidRPr="006439B0">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 xml:space="preserve"> победителя Всероссийского конкурса лучших проектов создания комфортной городской среды в малых городах и исторических поселениях, в результате чего удалось обеспечить повышение уровня благоустроенности общественных территорий муниципальных образований Республики Тыва.</w:t>
      </w: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bCs/>
          <w:color w:val="000000" w:themeColor="text1"/>
          <w:sz w:val="28"/>
          <w:szCs w:val="28"/>
          <w:lang w:eastAsia="en-US"/>
        </w:rPr>
      </w:pPr>
      <w:r w:rsidRPr="006439B0">
        <w:rPr>
          <w:rFonts w:ascii="Times New Roman" w:eastAsiaTheme="minorHAnsi" w:hAnsi="Times New Roman" w:cs="Times New Roman"/>
          <w:bCs/>
          <w:color w:val="000000" w:themeColor="text1"/>
          <w:sz w:val="28"/>
          <w:szCs w:val="28"/>
          <w:lang w:eastAsia="en-US"/>
        </w:rPr>
        <w:t>В настоящее время все 19 муниципальных образований Республики Тыва обеспечены объектами благоустройства, такими как пешеходные зоны, зоны отдыха, детские игровые площадки, спортивные площадки, территории памятных мест, тротуары, парковки, объекты уличного освещения, которые способствуют комфортным условиям жизнедеятельности населения.</w:t>
      </w: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bCs/>
          <w:color w:val="000000" w:themeColor="text1"/>
          <w:sz w:val="28"/>
          <w:szCs w:val="28"/>
          <w:lang w:eastAsia="en-US"/>
        </w:rPr>
      </w:pPr>
      <w:r w:rsidRPr="006439B0">
        <w:rPr>
          <w:rFonts w:ascii="Times New Roman" w:eastAsiaTheme="minorHAnsi" w:hAnsi="Times New Roman" w:cs="Times New Roman"/>
          <w:bCs/>
          <w:color w:val="000000" w:themeColor="text1"/>
          <w:sz w:val="28"/>
          <w:szCs w:val="28"/>
          <w:lang w:eastAsia="en-US"/>
        </w:rPr>
        <w:lastRenderedPageBreak/>
        <w:t>В соответствии с отчетом Министерства строительства и жилищно-коммунального хозяйства Российской Федерации от 1 апреля 2020 г</w:t>
      </w:r>
      <w:r w:rsidR="00097452" w:rsidRPr="006439B0">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 xml:space="preserve"> </w:t>
      </w:r>
      <w:r w:rsidR="003B3D65">
        <w:rPr>
          <w:rFonts w:ascii="Times New Roman" w:eastAsiaTheme="minorHAnsi" w:hAnsi="Times New Roman" w:cs="Times New Roman"/>
          <w:bCs/>
          <w:color w:val="000000" w:themeColor="text1"/>
          <w:sz w:val="28"/>
          <w:szCs w:val="28"/>
          <w:lang w:eastAsia="en-US"/>
        </w:rPr>
        <w:t>один</w:t>
      </w:r>
      <w:r w:rsidRPr="006439B0">
        <w:rPr>
          <w:rFonts w:ascii="Times New Roman" w:eastAsiaTheme="minorHAnsi" w:hAnsi="Times New Roman" w:cs="Times New Roman"/>
          <w:bCs/>
          <w:color w:val="000000" w:themeColor="text1"/>
          <w:sz w:val="28"/>
          <w:szCs w:val="28"/>
          <w:lang w:eastAsia="en-US"/>
        </w:rPr>
        <w:t xml:space="preserve"> город признан городом с благоприятной городской средой </w:t>
      </w:r>
      <w:r w:rsidR="00097452" w:rsidRPr="006439B0">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 xml:space="preserve"> г. Шагонар Респуб</w:t>
      </w:r>
      <w:r w:rsidR="00097452" w:rsidRPr="006439B0">
        <w:rPr>
          <w:rFonts w:ascii="Times New Roman" w:eastAsiaTheme="minorHAnsi" w:hAnsi="Times New Roman" w:cs="Times New Roman"/>
          <w:bCs/>
          <w:color w:val="000000" w:themeColor="text1"/>
          <w:sz w:val="28"/>
          <w:szCs w:val="28"/>
          <w:lang w:eastAsia="en-US"/>
        </w:rPr>
        <w:t>лики Тыва, получивший 181 балл</w:t>
      </w:r>
      <w:r w:rsidRPr="006439B0">
        <w:rPr>
          <w:rFonts w:ascii="Times New Roman" w:eastAsiaTheme="minorHAnsi" w:hAnsi="Times New Roman" w:cs="Times New Roman"/>
          <w:bCs/>
          <w:color w:val="000000" w:themeColor="text1"/>
          <w:sz w:val="28"/>
          <w:szCs w:val="28"/>
          <w:lang w:eastAsia="en-US"/>
        </w:rPr>
        <w:t>.</w:t>
      </w: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bCs/>
          <w:color w:val="000000" w:themeColor="text1"/>
          <w:sz w:val="28"/>
          <w:szCs w:val="28"/>
          <w:lang w:eastAsia="en-US"/>
        </w:rPr>
      </w:pPr>
      <w:r w:rsidRPr="006439B0">
        <w:rPr>
          <w:rFonts w:ascii="Times New Roman" w:eastAsiaTheme="minorHAnsi" w:hAnsi="Times New Roman" w:cs="Times New Roman"/>
          <w:bCs/>
          <w:color w:val="000000" w:themeColor="text1"/>
          <w:sz w:val="28"/>
          <w:szCs w:val="28"/>
          <w:lang w:eastAsia="en-US"/>
        </w:rPr>
        <w:t>До 2023 года значительно выросла доля граждан, вовлеченных в решени</w:t>
      </w:r>
      <w:r w:rsidR="003B3D65">
        <w:rPr>
          <w:rFonts w:ascii="Times New Roman" w:eastAsiaTheme="minorHAnsi" w:hAnsi="Times New Roman" w:cs="Times New Roman"/>
          <w:bCs/>
          <w:color w:val="000000" w:themeColor="text1"/>
          <w:sz w:val="28"/>
          <w:szCs w:val="28"/>
          <w:lang w:eastAsia="en-US"/>
        </w:rPr>
        <w:t>е</w:t>
      </w:r>
      <w:r w:rsidRPr="006439B0">
        <w:rPr>
          <w:rFonts w:ascii="Times New Roman" w:eastAsiaTheme="minorHAnsi" w:hAnsi="Times New Roman" w:cs="Times New Roman"/>
          <w:bCs/>
          <w:color w:val="000000" w:themeColor="text1"/>
          <w:sz w:val="28"/>
          <w:szCs w:val="28"/>
          <w:lang w:eastAsia="en-US"/>
        </w:rPr>
        <w:t xml:space="preserve"> вопросов развития городской среды, от общего количества граждан старше 14 лет, проживающих в муниципальных образованиях республики</w:t>
      </w:r>
      <w:r w:rsidR="003B3D65">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 xml:space="preserve"> посредством проведения рейтингового голосования по отбору общественных территорий, подлежащих благоустройству в предшествующем году.</w:t>
      </w: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bCs/>
          <w:color w:val="000000" w:themeColor="text1"/>
          <w:sz w:val="28"/>
          <w:szCs w:val="28"/>
          <w:lang w:eastAsia="en-US"/>
        </w:rPr>
      </w:pPr>
      <w:r w:rsidRPr="006439B0">
        <w:rPr>
          <w:rFonts w:ascii="Times New Roman" w:eastAsiaTheme="minorHAnsi" w:hAnsi="Times New Roman" w:cs="Times New Roman"/>
          <w:bCs/>
          <w:color w:val="000000" w:themeColor="text1"/>
          <w:sz w:val="28"/>
          <w:szCs w:val="28"/>
          <w:lang w:eastAsia="en-US"/>
        </w:rPr>
        <w:t>Так, за 2021 год в рейтинговом голосовании на территории республики приняли участие 35 546 жителей, что составляет 16,01</w:t>
      </w:r>
      <w:r w:rsidR="0069546A" w:rsidRPr="006439B0">
        <w:rPr>
          <w:rFonts w:ascii="Times New Roman" w:eastAsiaTheme="minorHAnsi" w:hAnsi="Times New Roman" w:cs="Times New Roman"/>
          <w:bCs/>
          <w:color w:val="000000" w:themeColor="text1"/>
          <w:sz w:val="28"/>
          <w:szCs w:val="28"/>
          <w:lang w:eastAsia="en-US"/>
        </w:rPr>
        <w:t xml:space="preserve"> процента</w:t>
      </w:r>
      <w:r w:rsidRPr="006439B0">
        <w:rPr>
          <w:rFonts w:ascii="Times New Roman" w:eastAsiaTheme="minorHAnsi" w:hAnsi="Times New Roman" w:cs="Times New Roman"/>
          <w:bCs/>
          <w:color w:val="000000" w:themeColor="text1"/>
          <w:sz w:val="28"/>
          <w:szCs w:val="28"/>
          <w:lang w:eastAsia="en-US"/>
        </w:rPr>
        <w:t xml:space="preserve"> от установленного показателя </w:t>
      </w:r>
      <w:r w:rsidR="003B3D65">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15</w:t>
      </w:r>
      <w:r w:rsidR="0069546A" w:rsidRPr="006439B0">
        <w:rPr>
          <w:rFonts w:ascii="Times New Roman" w:eastAsiaTheme="minorHAnsi" w:hAnsi="Times New Roman" w:cs="Times New Roman"/>
          <w:bCs/>
          <w:color w:val="000000" w:themeColor="text1"/>
          <w:sz w:val="28"/>
          <w:szCs w:val="28"/>
          <w:lang w:eastAsia="en-US"/>
        </w:rPr>
        <w:t xml:space="preserve"> процентов</w:t>
      </w:r>
      <w:r w:rsidR="003B3D65">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 в 2022 году за объекты благоустройства проголосовало 50 125 человек или 22,39</w:t>
      </w:r>
      <w:r w:rsidR="0069546A" w:rsidRPr="006439B0">
        <w:rPr>
          <w:rFonts w:ascii="Times New Roman" w:eastAsiaTheme="minorHAnsi" w:hAnsi="Times New Roman" w:cs="Times New Roman"/>
          <w:bCs/>
          <w:color w:val="000000" w:themeColor="text1"/>
          <w:sz w:val="28"/>
          <w:szCs w:val="28"/>
          <w:lang w:eastAsia="en-US"/>
        </w:rPr>
        <w:t xml:space="preserve"> процента</w:t>
      </w:r>
      <w:r w:rsidRPr="006439B0">
        <w:rPr>
          <w:rFonts w:ascii="Times New Roman" w:eastAsiaTheme="minorHAnsi" w:hAnsi="Times New Roman" w:cs="Times New Roman"/>
          <w:bCs/>
          <w:color w:val="000000" w:themeColor="text1"/>
          <w:sz w:val="28"/>
          <w:szCs w:val="28"/>
          <w:lang w:eastAsia="en-US"/>
        </w:rPr>
        <w:t xml:space="preserve"> от </w:t>
      </w:r>
      <w:r w:rsidR="006269A6">
        <w:rPr>
          <w:rFonts w:ascii="Times New Roman" w:eastAsiaTheme="minorHAnsi" w:hAnsi="Times New Roman" w:cs="Times New Roman"/>
          <w:bCs/>
          <w:color w:val="000000" w:themeColor="text1"/>
          <w:sz w:val="28"/>
          <w:szCs w:val="28"/>
          <w:lang w:eastAsia="en-US"/>
        </w:rPr>
        <w:t xml:space="preserve">установленного </w:t>
      </w:r>
      <w:r w:rsidRPr="006439B0">
        <w:rPr>
          <w:rFonts w:ascii="Times New Roman" w:eastAsiaTheme="minorHAnsi" w:hAnsi="Times New Roman" w:cs="Times New Roman"/>
          <w:bCs/>
          <w:color w:val="000000" w:themeColor="text1"/>
          <w:sz w:val="28"/>
          <w:szCs w:val="28"/>
          <w:lang w:eastAsia="en-US"/>
        </w:rPr>
        <w:t xml:space="preserve">показателя </w:t>
      </w:r>
      <w:r w:rsidR="003B3D65">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20</w:t>
      </w:r>
      <w:r w:rsidR="0069546A" w:rsidRPr="006439B0">
        <w:rPr>
          <w:rFonts w:ascii="Times New Roman" w:eastAsiaTheme="minorHAnsi" w:hAnsi="Times New Roman" w:cs="Times New Roman"/>
          <w:bCs/>
          <w:color w:val="000000" w:themeColor="text1"/>
          <w:sz w:val="28"/>
          <w:szCs w:val="28"/>
          <w:lang w:eastAsia="en-US"/>
        </w:rPr>
        <w:t xml:space="preserve"> процентов</w:t>
      </w:r>
      <w:r w:rsidR="003B3D65">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 По итогам</w:t>
      </w:r>
      <w:r w:rsidR="006269A6">
        <w:rPr>
          <w:rFonts w:ascii="Times New Roman" w:eastAsiaTheme="minorHAnsi" w:hAnsi="Times New Roman" w:cs="Times New Roman"/>
          <w:bCs/>
          <w:color w:val="000000" w:themeColor="text1"/>
          <w:sz w:val="28"/>
          <w:szCs w:val="28"/>
          <w:lang w:eastAsia="en-US"/>
        </w:rPr>
        <w:t xml:space="preserve"> голосования в 2023 году принял</w:t>
      </w:r>
      <w:r w:rsidRPr="006439B0">
        <w:rPr>
          <w:rFonts w:ascii="Times New Roman" w:eastAsiaTheme="minorHAnsi" w:hAnsi="Times New Roman" w:cs="Times New Roman"/>
          <w:bCs/>
          <w:color w:val="000000" w:themeColor="text1"/>
          <w:sz w:val="28"/>
          <w:szCs w:val="28"/>
          <w:lang w:eastAsia="en-US"/>
        </w:rPr>
        <w:t xml:space="preserve"> участие 102 701 жител</w:t>
      </w:r>
      <w:r w:rsidR="006269A6">
        <w:rPr>
          <w:rFonts w:ascii="Times New Roman" w:eastAsiaTheme="minorHAnsi" w:hAnsi="Times New Roman" w:cs="Times New Roman"/>
          <w:bCs/>
          <w:color w:val="000000" w:themeColor="text1"/>
          <w:sz w:val="28"/>
          <w:szCs w:val="28"/>
          <w:lang w:eastAsia="en-US"/>
        </w:rPr>
        <w:t>ь</w:t>
      </w:r>
      <w:r w:rsidRPr="006439B0">
        <w:rPr>
          <w:rFonts w:ascii="Times New Roman" w:eastAsiaTheme="minorHAnsi" w:hAnsi="Times New Roman" w:cs="Times New Roman"/>
          <w:bCs/>
          <w:color w:val="000000" w:themeColor="text1"/>
          <w:sz w:val="28"/>
          <w:szCs w:val="28"/>
          <w:lang w:eastAsia="en-US"/>
        </w:rPr>
        <w:t xml:space="preserve"> республики, что составляет 34,3</w:t>
      </w:r>
      <w:r w:rsidR="0069546A" w:rsidRPr="006439B0">
        <w:rPr>
          <w:rFonts w:ascii="Times New Roman" w:eastAsiaTheme="minorHAnsi" w:hAnsi="Times New Roman" w:cs="Times New Roman"/>
          <w:bCs/>
          <w:color w:val="000000" w:themeColor="text1"/>
          <w:sz w:val="28"/>
          <w:szCs w:val="28"/>
          <w:lang w:eastAsia="en-US"/>
        </w:rPr>
        <w:t xml:space="preserve"> процента</w:t>
      </w:r>
      <w:r w:rsidRPr="006439B0">
        <w:rPr>
          <w:rFonts w:ascii="Times New Roman" w:eastAsiaTheme="minorHAnsi" w:hAnsi="Times New Roman" w:cs="Times New Roman"/>
          <w:bCs/>
          <w:color w:val="000000" w:themeColor="text1"/>
          <w:sz w:val="28"/>
          <w:szCs w:val="28"/>
          <w:lang w:eastAsia="en-US"/>
        </w:rPr>
        <w:t xml:space="preserve"> от установленного показателя </w:t>
      </w:r>
      <w:r w:rsidR="003B3D65">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25</w:t>
      </w:r>
      <w:r w:rsidR="0069546A" w:rsidRPr="006439B0">
        <w:rPr>
          <w:rFonts w:ascii="Times New Roman" w:eastAsiaTheme="minorHAnsi" w:hAnsi="Times New Roman" w:cs="Times New Roman"/>
          <w:bCs/>
          <w:color w:val="000000" w:themeColor="text1"/>
          <w:sz w:val="28"/>
          <w:szCs w:val="28"/>
          <w:lang w:eastAsia="en-US"/>
        </w:rPr>
        <w:t xml:space="preserve"> процентов</w:t>
      </w:r>
      <w:r w:rsidR="003B3D65">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w:t>
      </w:r>
    </w:p>
    <w:p w:rsidR="006269A6"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bCs/>
          <w:color w:val="000000" w:themeColor="text1"/>
          <w:sz w:val="28"/>
          <w:szCs w:val="28"/>
          <w:lang w:eastAsia="en-US"/>
        </w:rPr>
      </w:pPr>
      <w:r w:rsidRPr="006439B0">
        <w:rPr>
          <w:rFonts w:ascii="Times New Roman" w:eastAsiaTheme="minorHAnsi" w:hAnsi="Times New Roman" w:cs="Times New Roman"/>
          <w:bCs/>
          <w:noProof/>
          <w:color w:val="000000" w:themeColor="text1"/>
          <w:sz w:val="28"/>
          <w:szCs w:val="28"/>
        </w:rPr>
        <w:drawing>
          <wp:inline distT="0" distB="0" distL="0" distR="0" wp14:anchorId="45DF9402" wp14:editId="2D3DD98F">
            <wp:extent cx="5759450" cy="3239770"/>
            <wp:effectExtent l="0" t="0" r="0" b="0"/>
            <wp:docPr id="1" name="Объе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bCs/>
          <w:color w:val="000000" w:themeColor="text1"/>
          <w:sz w:val="28"/>
          <w:szCs w:val="28"/>
          <w:lang w:eastAsia="en-US"/>
        </w:rPr>
      </w:pPr>
      <w:r w:rsidRPr="006439B0">
        <w:rPr>
          <w:rFonts w:ascii="Times New Roman" w:eastAsiaTheme="minorHAnsi" w:hAnsi="Times New Roman" w:cs="Times New Roman"/>
          <w:bCs/>
          <w:color w:val="000000" w:themeColor="text1"/>
          <w:sz w:val="28"/>
          <w:szCs w:val="28"/>
          <w:lang w:eastAsia="en-US"/>
        </w:rPr>
        <w:t xml:space="preserve">Реализация Программы также имеет значительные социально-экономические последствия для общества. Экономический эффект от реализации Программы неоспорим. Одними из примеров положительного социального последствия являются реализованные проекты победителей Всероссийского конкурса лучших проектов создания комфортной городской среды в малых </w:t>
      </w:r>
      <w:r w:rsidR="006269A6">
        <w:rPr>
          <w:rFonts w:ascii="Times New Roman" w:eastAsiaTheme="minorHAnsi" w:hAnsi="Times New Roman" w:cs="Times New Roman"/>
          <w:bCs/>
          <w:color w:val="000000" w:themeColor="text1"/>
          <w:sz w:val="28"/>
          <w:szCs w:val="28"/>
          <w:lang w:eastAsia="en-US"/>
        </w:rPr>
        <w:t xml:space="preserve">           </w:t>
      </w:r>
      <w:r w:rsidRPr="006439B0">
        <w:rPr>
          <w:rFonts w:ascii="Times New Roman" w:eastAsiaTheme="minorHAnsi" w:hAnsi="Times New Roman" w:cs="Times New Roman"/>
          <w:bCs/>
          <w:color w:val="000000" w:themeColor="text1"/>
          <w:sz w:val="28"/>
          <w:szCs w:val="28"/>
          <w:lang w:eastAsia="en-US"/>
        </w:rPr>
        <w:t>городах и историче</w:t>
      </w:r>
      <w:r w:rsidR="0069546A" w:rsidRPr="006439B0">
        <w:rPr>
          <w:rFonts w:ascii="Times New Roman" w:eastAsiaTheme="minorHAnsi" w:hAnsi="Times New Roman" w:cs="Times New Roman"/>
          <w:bCs/>
          <w:color w:val="000000" w:themeColor="text1"/>
          <w:sz w:val="28"/>
          <w:szCs w:val="28"/>
          <w:lang w:eastAsia="en-US"/>
        </w:rPr>
        <w:t>ских поселения –</w:t>
      </w:r>
      <w:r w:rsidRPr="006439B0">
        <w:rPr>
          <w:rFonts w:ascii="Times New Roman" w:eastAsiaTheme="minorHAnsi" w:hAnsi="Times New Roman" w:cs="Times New Roman"/>
          <w:bCs/>
          <w:color w:val="000000" w:themeColor="text1"/>
          <w:sz w:val="28"/>
          <w:szCs w:val="28"/>
          <w:lang w:eastAsia="en-US"/>
        </w:rPr>
        <w:t xml:space="preserve"> </w:t>
      </w:r>
      <w:r w:rsidR="00A959A0" w:rsidRPr="006439B0">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Парк первых русских переселенцев</w:t>
      </w:r>
      <w:r w:rsidR="00A959A0" w:rsidRPr="006439B0">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 xml:space="preserve"> в </w:t>
      </w:r>
      <w:r w:rsidR="006269A6">
        <w:rPr>
          <w:rFonts w:ascii="Times New Roman" w:eastAsiaTheme="minorHAnsi" w:hAnsi="Times New Roman" w:cs="Times New Roman"/>
          <w:bCs/>
          <w:color w:val="000000" w:themeColor="text1"/>
          <w:sz w:val="28"/>
          <w:szCs w:val="28"/>
          <w:lang w:eastAsia="en-US"/>
        </w:rPr>
        <w:t xml:space="preserve">          г. Туране Пий-Хемского района</w:t>
      </w:r>
      <w:r w:rsidRPr="006439B0">
        <w:rPr>
          <w:rFonts w:ascii="Times New Roman" w:eastAsiaTheme="minorHAnsi" w:hAnsi="Times New Roman" w:cs="Times New Roman"/>
          <w:bCs/>
          <w:color w:val="000000" w:themeColor="text1"/>
          <w:sz w:val="28"/>
          <w:szCs w:val="28"/>
          <w:lang w:eastAsia="en-US"/>
        </w:rPr>
        <w:t xml:space="preserve"> стоимостью 76 500,000 тыс. рублей, </w:t>
      </w:r>
      <w:r w:rsidR="00A959A0" w:rsidRPr="006439B0">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 xml:space="preserve">Парк </w:t>
      </w:r>
      <w:r w:rsidR="006269A6">
        <w:rPr>
          <w:rFonts w:ascii="Times New Roman" w:eastAsiaTheme="minorHAnsi" w:hAnsi="Times New Roman" w:cs="Times New Roman"/>
          <w:bCs/>
          <w:color w:val="000000" w:themeColor="text1"/>
          <w:sz w:val="28"/>
          <w:szCs w:val="28"/>
          <w:lang w:eastAsia="en-US"/>
        </w:rPr>
        <w:t xml:space="preserve">               </w:t>
      </w:r>
      <w:r w:rsidRPr="006439B0">
        <w:rPr>
          <w:rFonts w:ascii="Times New Roman" w:eastAsiaTheme="minorHAnsi" w:hAnsi="Times New Roman" w:cs="Times New Roman"/>
          <w:bCs/>
          <w:color w:val="000000" w:themeColor="text1"/>
          <w:sz w:val="28"/>
          <w:szCs w:val="28"/>
          <w:lang w:eastAsia="en-US"/>
        </w:rPr>
        <w:t>кочевников Центра Азии</w:t>
      </w:r>
      <w:r w:rsidR="00A959A0" w:rsidRPr="006439B0">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 xml:space="preserve"> в г. Шагонар</w:t>
      </w:r>
      <w:r w:rsidR="006269A6">
        <w:rPr>
          <w:rFonts w:ascii="Times New Roman" w:eastAsiaTheme="minorHAnsi" w:hAnsi="Times New Roman" w:cs="Times New Roman"/>
          <w:bCs/>
          <w:color w:val="000000" w:themeColor="text1"/>
          <w:sz w:val="28"/>
          <w:szCs w:val="28"/>
          <w:lang w:eastAsia="en-US"/>
        </w:rPr>
        <w:t>е</w:t>
      </w:r>
      <w:r w:rsidRPr="006439B0">
        <w:rPr>
          <w:rFonts w:ascii="Times New Roman" w:eastAsiaTheme="minorHAnsi" w:hAnsi="Times New Roman" w:cs="Times New Roman"/>
          <w:bCs/>
          <w:color w:val="000000" w:themeColor="text1"/>
          <w:sz w:val="28"/>
          <w:szCs w:val="28"/>
          <w:lang w:eastAsia="en-US"/>
        </w:rPr>
        <w:t xml:space="preserve"> Улуг-Хемского района стоимостью</w:t>
      </w:r>
      <w:r w:rsidR="006269A6">
        <w:rPr>
          <w:rFonts w:ascii="Times New Roman" w:eastAsiaTheme="minorHAnsi" w:hAnsi="Times New Roman" w:cs="Times New Roman"/>
          <w:bCs/>
          <w:color w:val="000000" w:themeColor="text1"/>
          <w:sz w:val="28"/>
          <w:szCs w:val="28"/>
          <w:lang w:eastAsia="en-US"/>
        </w:rPr>
        <w:t xml:space="preserve">             </w:t>
      </w:r>
      <w:r w:rsidRPr="006439B0">
        <w:rPr>
          <w:rFonts w:ascii="Times New Roman" w:eastAsiaTheme="minorHAnsi" w:hAnsi="Times New Roman" w:cs="Times New Roman"/>
          <w:bCs/>
          <w:color w:val="000000" w:themeColor="text1"/>
          <w:sz w:val="28"/>
          <w:szCs w:val="28"/>
          <w:lang w:eastAsia="en-US"/>
        </w:rPr>
        <w:t xml:space="preserve"> 72 000,000 тыс. рублей.</w:t>
      </w: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bCs/>
          <w:color w:val="000000" w:themeColor="text1"/>
          <w:sz w:val="28"/>
          <w:szCs w:val="28"/>
          <w:lang w:eastAsia="en-US"/>
        </w:rPr>
      </w:pPr>
      <w:r w:rsidRPr="006439B0">
        <w:rPr>
          <w:rFonts w:ascii="Times New Roman" w:eastAsiaTheme="minorHAnsi" w:hAnsi="Times New Roman" w:cs="Times New Roman"/>
          <w:bCs/>
          <w:color w:val="000000" w:themeColor="text1"/>
          <w:sz w:val="28"/>
          <w:szCs w:val="28"/>
          <w:lang w:eastAsia="en-US"/>
        </w:rPr>
        <w:t xml:space="preserve">При реализации проекта </w:t>
      </w:r>
      <w:r w:rsidR="00A959A0" w:rsidRPr="006439B0">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Парк кочевников Центра Азии</w:t>
      </w:r>
      <w:r w:rsidR="00A959A0" w:rsidRPr="006439B0">
        <w:rPr>
          <w:rFonts w:ascii="Times New Roman" w:eastAsiaTheme="minorHAnsi" w:hAnsi="Times New Roman" w:cs="Times New Roman"/>
          <w:bCs/>
          <w:color w:val="000000" w:themeColor="text1"/>
          <w:sz w:val="28"/>
          <w:szCs w:val="28"/>
          <w:lang w:eastAsia="en-US"/>
        </w:rPr>
        <w:t>»</w:t>
      </w:r>
      <w:r w:rsidRPr="006439B0">
        <w:rPr>
          <w:rFonts w:ascii="Times New Roman" w:eastAsiaTheme="minorHAnsi" w:hAnsi="Times New Roman" w:cs="Times New Roman"/>
          <w:bCs/>
          <w:color w:val="000000" w:themeColor="text1"/>
          <w:sz w:val="28"/>
          <w:szCs w:val="28"/>
          <w:lang w:eastAsia="en-US"/>
        </w:rPr>
        <w:t xml:space="preserve"> заложены внебюджетные средства в размере 8 000,000 тыс. рублей на установку второй юрты.</w:t>
      </w: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bCs/>
          <w:color w:val="000000" w:themeColor="text1"/>
          <w:sz w:val="28"/>
          <w:szCs w:val="28"/>
          <w:lang w:eastAsia="en-US"/>
        </w:rPr>
      </w:pPr>
      <w:r w:rsidRPr="006439B0">
        <w:rPr>
          <w:rFonts w:ascii="Times New Roman" w:eastAsiaTheme="minorHAnsi" w:hAnsi="Times New Roman" w:cs="Times New Roman"/>
          <w:bCs/>
          <w:color w:val="000000" w:themeColor="text1"/>
          <w:sz w:val="28"/>
          <w:szCs w:val="28"/>
          <w:lang w:eastAsia="en-US"/>
        </w:rPr>
        <w:lastRenderedPageBreak/>
        <w:t xml:space="preserve">По итогам реализации парков значительно увеличилась </w:t>
      </w:r>
      <w:r w:rsidR="006269A6">
        <w:rPr>
          <w:rFonts w:ascii="Times New Roman" w:eastAsiaTheme="minorHAnsi" w:hAnsi="Times New Roman" w:cs="Times New Roman"/>
          <w:bCs/>
          <w:color w:val="000000" w:themeColor="text1"/>
          <w:sz w:val="28"/>
          <w:szCs w:val="28"/>
          <w:lang w:eastAsia="en-US"/>
        </w:rPr>
        <w:t xml:space="preserve">их </w:t>
      </w:r>
      <w:r w:rsidRPr="006439B0">
        <w:rPr>
          <w:rFonts w:ascii="Times New Roman" w:eastAsiaTheme="minorHAnsi" w:hAnsi="Times New Roman" w:cs="Times New Roman"/>
          <w:bCs/>
          <w:color w:val="000000" w:themeColor="text1"/>
          <w:sz w:val="28"/>
          <w:szCs w:val="28"/>
          <w:lang w:eastAsia="en-US"/>
        </w:rPr>
        <w:t>посещаемость жителями и туристами. Еженедельно наблюдается проведение новых проектов, мастер-классов, лекций на территори</w:t>
      </w:r>
      <w:r w:rsidR="006269A6">
        <w:rPr>
          <w:rFonts w:ascii="Times New Roman" w:eastAsiaTheme="minorHAnsi" w:hAnsi="Times New Roman" w:cs="Times New Roman"/>
          <w:bCs/>
          <w:color w:val="000000" w:themeColor="text1"/>
          <w:sz w:val="28"/>
          <w:szCs w:val="28"/>
          <w:lang w:eastAsia="en-US"/>
        </w:rPr>
        <w:t>ях</w:t>
      </w:r>
      <w:r w:rsidRPr="006439B0">
        <w:rPr>
          <w:rFonts w:ascii="Times New Roman" w:eastAsiaTheme="minorHAnsi" w:hAnsi="Times New Roman" w:cs="Times New Roman"/>
          <w:bCs/>
          <w:color w:val="000000" w:themeColor="text1"/>
          <w:sz w:val="28"/>
          <w:szCs w:val="28"/>
          <w:lang w:eastAsia="en-US"/>
        </w:rPr>
        <w:t xml:space="preserve"> парков.</w:t>
      </w:r>
    </w:p>
    <w:p w:rsidR="00961808" w:rsidRPr="006439B0" w:rsidRDefault="00A72B9C"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bCs/>
          <w:color w:val="000000" w:themeColor="text1"/>
          <w:sz w:val="28"/>
          <w:szCs w:val="28"/>
          <w:lang w:eastAsia="en-US"/>
        </w:rPr>
      </w:pPr>
      <w:r w:rsidRPr="006439B0">
        <w:rPr>
          <w:rFonts w:ascii="Times New Roman" w:eastAsiaTheme="minorHAnsi" w:hAnsi="Times New Roman" w:cs="Times New Roman"/>
          <w:bCs/>
          <w:color w:val="000000" w:themeColor="text1"/>
          <w:sz w:val="28"/>
          <w:szCs w:val="28"/>
          <w:lang w:eastAsia="en-US"/>
        </w:rPr>
        <w:t>С помощью данных проектов привлечены внебюджетные средства, заложен путь развитию бизнеса, созданы новые рабочие места, что в настоящее время способствовало экономическому росту и увеличению доходов населения.</w:t>
      </w:r>
    </w:p>
    <w:p w:rsidR="0069546A" w:rsidRPr="006439B0" w:rsidRDefault="0069546A"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bCs/>
          <w:color w:val="000000" w:themeColor="text1"/>
          <w:sz w:val="28"/>
          <w:szCs w:val="28"/>
          <w:lang w:eastAsia="en-US"/>
        </w:rPr>
      </w:pPr>
    </w:p>
    <w:p w:rsidR="0069546A" w:rsidRPr="006439B0" w:rsidRDefault="0069546A"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bCs/>
          <w:color w:val="000000" w:themeColor="text1"/>
          <w:sz w:val="28"/>
          <w:szCs w:val="28"/>
          <w:lang w:eastAsia="en-US"/>
        </w:rPr>
      </w:pPr>
    </w:p>
    <w:p w:rsidR="0069546A" w:rsidRPr="006439B0" w:rsidRDefault="0069546A" w:rsidP="000A1B00">
      <w:pPr>
        <w:shd w:val="clear" w:color="auto" w:fill="FFFFFF" w:themeFill="background1"/>
        <w:suppressAutoHyphens w:val="0"/>
        <w:spacing w:after="0" w:line="240" w:lineRule="auto"/>
        <w:ind w:firstLine="709"/>
        <w:jc w:val="both"/>
        <w:rPr>
          <w:rFonts w:ascii="Times New Roman" w:eastAsiaTheme="minorHAnsi" w:hAnsi="Times New Roman" w:cs="Times New Roman"/>
          <w:bCs/>
          <w:color w:val="000000" w:themeColor="text1"/>
          <w:sz w:val="28"/>
          <w:szCs w:val="28"/>
          <w:lang w:eastAsia="en-US"/>
        </w:rPr>
        <w:sectPr w:rsidR="0069546A" w:rsidRPr="006439B0" w:rsidSect="0069546A">
          <w:pgSz w:w="11906" w:h="16838"/>
          <w:pgMar w:top="1134" w:right="567" w:bottom="1134" w:left="1701" w:header="680" w:footer="680" w:gutter="0"/>
          <w:pgNumType w:start="1"/>
          <w:cols w:space="720"/>
          <w:formProt w:val="0"/>
          <w:titlePg/>
          <w:docGrid w:linePitch="360" w:charSpace="12288"/>
        </w:sectPr>
      </w:pPr>
    </w:p>
    <w:p w:rsidR="00BA18B0" w:rsidRPr="006439B0" w:rsidRDefault="00A72B9C" w:rsidP="000A1B00">
      <w:pPr>
        <w:shd w:val="clear" w:color="auto" w:fill="FFFFFF" w:themeFill="background1"/>
        <w:suppressAutoHyphens w:val="0"/>
        <w:spacing w:after="0" w:line="240" w:lineRule="auto"/>
        <w:ind w:firstLine="540"/>
        <w:jc w:val="center"/>
        <w:rPr>
          <w:rFonts w:ascii="Times New Roman" w:eastAsiaTheme="minorHAnsi" w:hAnsi="Times New Roman" w:cs="Times New Roman"/>
          <w:bCs/>
          <w:color w:val="000000" w:themeColor="text1"/>
          <w:sz w:val="28"/>
          <w:szCs w:val="28"/>
          <w:lang w:eastAsia="en-US"/>
        </w:rPr>
      </w:pPr>
      <w:r w:rsidRPr="006439B0">
        <w:rPr>
          <w:rFonts w:ascii="Times New Roman" w:eastAsiaTheme="minorHAnsi" w:hAnsi="Times New Roman" w:cs="Times New Roman"/>
          <w:bCs/>
          <w:color w:val="000000" w:themeColor="text1"/>
          <w:sz w:val="28"/>
          <w:szCs w:val="28"/>
          <w:lang w:eastAsia="en-US"/>
        </w:rPr>
        <w:lastRenderedPageBreak/>
        <w:t xml:space="preserve">Информация о достигнутом экономическом эффекте от реализации </w:t>
      </w:r>
    </w:p>
    <w:p w:rsidR="00BA18B0" w:rsidRPr="006439B0" w:rsidRDefault="00A72B9C" w:rsidP="000A1B00">
      <w:pPr>
        <w:shd w:val="clear" w:color="auto" w:fill="FFFFFF" w:themeFill="background1"/>
        <w:suppressAutoHyphens w:val="0"/>
        <w:spacing w:after="0" w:line="240" w:lineRule="auto"/>
        <w:ind w:firstLine="540"/>
        <w:jc w:val="center"/>
        <w:rPr>
          <w:rFonts w:ascii="Times New Roman" w:eastAsiaTheme="minorHAnsi" w:hAnsi="Times New Roman" w:cs="Times New Roman"/>
          <w:bCs/>
          <w:color w:val="000000" w:themeColor="text1"/>
          <w:sz w:val="28"/>
          <w:szCs w:val="28"/>
          <w:lang w:eastAsia="en-US"/>
        </w:rPr>
      </w:pPr>
      <w:r w:rsidRPr="006439B0">
        <w:rPr>
          <w:rFonts w:ascii="Times New Roman" w:eastAsiaTheme="minorHAnsi" w:hAnsi="Times New Roman" w:cs="Times New Roman"/>
          <w:bCs/>
          <w:color w:val="000000" w:themeColor="text1"/>
          <w:sz w:val="28"/>
          <w:szCs w:val="28"/>
          <w:lang w:eastAsia="en-US"/>
        </w:rPr>
        <w:t xml:space="preserve">проектов – победителей Всероссийского конкурса лучших </w:t>
      </w:r>
    </w:p>
    <w:p w:rsidR="00961808" w:rsidRPr="006439B0" w:rsidRDefault="00A72B9C" w:rsidP="000A1B00">
      <w:pPr>
        <w:shd w:val="clear" w:color="auto" w:fill="FFFFFF" w:themeFill="background1"/>
        <w:suppressAutoHyphens w:val="0"/>
        <w:spacing w:after="0" w:line="240" w:lineRule="auto"/>
        <w:ind w:firstLine="540"/>
        <w:jc w:val="center"/>
        <w:rPr>
          <w:color w:val="000000" w:themeColor="text1"/>
        </w:rPr>
      </w:pPr>
      <w:r w:rsidRPr="006439B0">
        <w:rPr>
          <w:rFonts w:ascii="Times New Roman" w:eastAsiaTheme="minorHAnsi" w:hAnsi="Times New Roman" w:cs="Times New Roman"/>
          <w:bCs/>
          <w:color w:val="000000" w:themeColor="text1"/>
          <w:sz w:val="28"/>
          <w:szCs w:val="28"/>
          <w:lang w:eastAsia="en-US"/>
        </w:rPr>
        <w:t>проектов создания комфортной городской среды</w:t>
      </w:r>
    </w:p>
    <w:p w:rsidR="00961808" w:rsidRPr="006439B0" w:rsidRDefault="00961808" w:rsidP="000A1B00">
      <w:pPr>
        <w:shd w:val="clear" w:color="auto" w:fill="FFFFFF" w:themeFill="background1"/>
        <w:suppressAutoHyphens w:val="0"/>
        <w:spacing w:after="0" w:line="240" w:lineRule="auto"/>
        <w:ind w:firstLine="540"/>
        <w:jc w:val="center"/>
        <w:rPr>
          <w:rFonts w:ascii="Times New Roman" w:eastAsiaTheme="minorHAnsi" w:hAnsi="Times New Roman" w:cs="Times New Roman"/>
          <w:bCs/>
          <w:color w:val="000000" w:themeColor="text1"/>
          <w:sz w:val="28"/>
          <w:szCs w:val="28"/>
          <w:lang w:eastAsia="en-US"/>
        </w:rPr>
      </w:pPr>
    </w:p>
    <w:tbl>
      <w:tblPr>
        <w:tblW w:w="15690" w:type="dxa"/>
        <w:jc w:val="center"/>
        <w:tblLayout w:type="fixed"/>
        <w:tblCellMar>
          <w:left w:w="28" w:type="dxa"/>
          <w:right w:w="28" w:type="dxa"/>
        </w:tblCellMar>
        <w:tblLook w:val="04A0" w:firstRow="1" w:lastRow="0" w:firstColumn="1" w:lastColumn="0" w:noHBand="0" w:noVBand="1"/>
      </w:tblPr>
      <w:tblGrid>
        <w:gridCol w:w="931"/>
        <w:gridCol w:w="1142"/>
        <w:gridCol w:w="857"/>
        <w:gridCol w:w="676"/>
        <w:gridCol w:w="1021"/>
        <w:gridCol w:w="706"/>
        <w:gridCol w:w="1048"/>
        <w:gridCol w:w="1146"/>
        <w:gridCol w:w="1530"/>
        <w:gridCol w:w="1186"/>
        <w:gridCol w:w="855"/>
        <w:gridCol w:w="858"/>
        <w:gridCol w:w="838"/>
        <w:gridCol w:w="828"/>
        <w:gridCol w:w="1064"/>
        <w:gridCol w:w="1004"/>
      </w:tblGrid>
      <w:tr w:rsidR="006439B0" w:rsidRPr="006439B0" w:rsidTr="00BA18B0">
        <w:trPr>
          <w:trHeight w:val="20"/>
          <w:jc w:val="center"/>
        </w:trPr>
        <w:tc>
          <w:tcPr>
            <w:tcW w:w="930" w:type="dxa"/>
            <w:vMerge w:val="restart"/>
            <w:tcBorders>
              <w:top w:val="single" w:sz="2" w:space="0" w:color="000000"/>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Населенный пункт</w:t>
            </w:r>
          </w:p>
        </w:tc>
        <w:tc>
          <w:tcPr>
            <w:tcW w:w="1141" w:type="dxa"/>
            <w:vMerge w:val="restart"/>
            <w:tcBorders>
              <w:top w:val="single" w:sz="2" w:space="0" w:color="000000"/>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Наименование проекта</w:t>
            </w:r>
          </w:p>
        </w:tc>
        <w:tc>
          <w:tcPr>
            <w:tcW w:w="856" w:type="dxa"/>
            <w:vMerge w:val="restart"/>
            <w:tcBorders>
              <w:top w:val="single" w:sz="2" w:space="0" w:color="000000"/>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Год благоустройства территории</w:t>
            </w:r>
          </w:p>
        </w:tc>
        <w:tc>
          <w:tcPr>
            <w:tcW w:w="675" w:type="dxa"/>
            <w:vMerge w:val="restart"/>
            <w:tcBorders>
              <w:top w:val="single" w:sz="2" w:space="0" w:color="000000"/>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Площадь благоустроенной территорий, га</w:t>
            </w:r>
          </w:p>
        </w:tc>
        <w:tc>
          <w:tcPr>
            <w:tcW w:w="1021" w:type="dxa"/>
            <w:vMerge w:val="restart"/>
            <w:tcBorders>
              <w:top w:val="single" w:sz="2" w:space="0" w:color="000000"/>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Количество предприятий малого бизнеса, предоставляющих услуги общепита и гостеприимства, ед.</w:t>
            </w:r>
          </w:p>
        </w:tc>
        <w:tc>
          <w:tcPr>
            <w:tcW w:w="706" w:type="dxa"/>
            <w:vMerge w:val="restart"/>
            <w:tcBorders>
              <w:top w:val="single" w:sz="2" w:space="0" w:color="000000"/>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Количество созданных рабочих мест, ед.</w:t>
            </w:r>
          </w:p>
        </w:tc>
        <w:tc>
          <w:tcPr>
            <w:tcW w:w="1048" w:type="dxa"/>
            <w:vMerge w:val="restart"/>
            <w:tcBorders>
              <w:top w:val="single" w:sz="2" w:space="0" w:color="000000"/>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Среднее время работы магазинов, находящихся в районе благоустройства территории, часов</w:t>
            </w:r>
          </w:p>
        </w:tc>
        <w:tc>
          <w:tcPr>
            <w:tcW w:w="1146" w:type="dxa"/>
            <w:vMerge w:val="restart"/>
            <w:tcBorders>
              <w:top w:val="single" w:sz="2" w:space="0" w:color="000000"/>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Количество посетителей и туристов, человек в год</w:t>
            </w:r>
          </w:p>
        </w:tc>
        <w:tc>
          <w:tcPr>
            <w:tcW w:w="1530" w:type="dxa"/>
            <w:vMerge w:val="restart"/>
            <w:tcBorders>
              <w:top w:val="single" w:sz="2" w:space="0" w:color="000000"/>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Градостроительные эффекты, связанные с реализацией мероприятий по благоустройству (например, запуск новых проектов по созданию общественных пространств, внедрение городских дизайн кодов и т.д.)</w:t>
            </w:r>
          </w:p>
        </w:tc>
        <w:tc>
          <w:tcPr>
            <w:tcW w:w="1186" w:type="dxa"/>
            <w:vMerge w:val="restart"/>
            <w:tcBorders>
              <w:top w:val="single" w:sz="2" w:space="0" w:color="000000"/>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Сумма, внебюджетных средств, привлеченных для благоустройства территории, млн. рублей</w:t>
            </w:r>
          </w:p>
        </w:tc>
        <w:tc>
          <w:tcPr>
            <w:tcW w:w="3379" w:type="dxa"/>
            <w:gridSpan w:val="4"/>
            <w:tcBorders>
              <w:top w:val="single" w:sz="2" w:space="0" w:color="000000"/>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 xml:space="preserve">Стоимость 1 </w:t>
            </w:r>
            <w:r w:rsidR="00BA18B0" w:rsidRPr="006439B0">
              <w:rPr>
                <w:rFonts w:ascii="Times New Roman" w:hAnsi="Times New Roman" w:cs="Times New Roman"/>
                <w:color w:val="000000" w:themeColor="text1"/>
                <w:sz w:val="20"/>
                <w:szCs w:val="20"/>
              </w:rPr>
              <w:t xml:space="preserve">кв. </w:t>
            </w:r>
            <w:r w:rsidRPr="006439B0">
              <w:rPr>
                <w:rFonts w:ascii="Times New Roman" w:hAnsi="Times New Roman" w:cs="Times New Roman"/>
                <w:color w:val="000000" w:themeColor="text1"/>
                <w:sz w:val="20"/>
                <w:szCs w:val="20"/>
              </w:rPr>
              <w:t>м недвижимости в районе благо</w:t>
            </w:r>
            <w:r w:rsidR="00BA18B0" w:rsidRPr="006439B0">
              <w:rPr>
                <w:rFonts w:ascii="Times New Roman" w:hAnsi="Times New Roman" w:cs="Times New Roman"/>
                <w:color w:val="000000" w:themeColor="text1"/>
                <w:sz w:val="20"/>
                <w:szCs w:val="20"/>
              </w:rPr>
              <w:t>устройства территории, тыс. рублей</w:t>
            </w:r>
          </w:p>
        </w:tc>
        <w:tc>
          <w:tcPr>
            <w:tcW w:w="2068" w:type="dxa"/>
            <w:gridSpan w:val="2"/>
            <w:tcBorders>
              <w:top w:val="single" w:sz="2" w:space="0" w:color="000000"/>
              <w:left w:val="single" w:sz="2" w:space="0" w:color="000000"/>
              <w:bottom w:val="single" w:sz="2" w:space="0" w:color="000000"/>
              <w:right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Численность населения в населенном пункте, в котором благоустраивалась территория, человек</w:t>
            </w:r>
          </w:p>
        </w:tc>
      </w:tr>
      <w:tr w:rsidR="006439B0" w:rsidRPr="006439B0" w:rsidTr="00BA18B0">
        <w:trPr>
          <w:trHeight w:val="20"/>
          <w:jc w:val="center"/>
        </w:trPr>
        <w:tc>
          <w:tcPr>
            <w:tcW w:w="930"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1141"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856"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675"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1021"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706"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1048"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1146"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1530"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1186"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1713" w:type="dxa"/>
            <w:gridSpan w:val="2"/>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bCs/>
                <w:color w:val="000000" w:themeColor="text1"/>
                <w:sz w:val="20"/>
                <w:szCs w:val="20"/>
              </w:rPr>
            </w:pPr>
            <w:r w:rsidRPr="006439B0">
              <w:rPr>
                <w:rFonts w:ascii="Times New Roman" w:hAnsi="Times New Roman" w:cs="Times New Roman"/>
                <w:bCs/>
                <w:color w:val="000000" w:themeColor="text1"/>
                <w:sz w:val="20"/>
                <w:szCs w:val="20"/>
              </w:rPr>
              <w:t>жилая недвижимость</w:t>
            </w:r>
          </w:p>
        </w:tc>
        <w:tc>
          <w:tcPr>
            <w:tcW w:w="1666" w:type="dxa"/>
            <w:gridSpan w:val="2"/>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bCs/>
                <w:color w:val="000000" w:themeColor="text1"/>
                <w:sz w:val="20"/>
                <w:szCs w:val="20"/>
              </w:rPr>
            </w:pPr>
            <w:r w:rsidRPr="006439B0">
              <w:rPr>
                <w:rFonts w:ascii="Times New Roman" w:hAnsi="Times New Roman" w:cs="Times New Roman"/>
                <w:bCs/>
                <w:color w:val="000000" w:themeColor="text1"/>
                <w:sz w:val="20"/>
                <w:szCs w:val="20"/>
              </w:rPr>
              <w:t>коммерческая  недвижимость</w:t>
            </w:r>
          </w:p>
        </w:tc>
        <w:tc>
          <w:tcPr>
            <w:tcW w:w="1064" w:type="dxa"/>
            <w:vMerge w:val="restart"/>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за 1 год до благоустройства</w:t>
            </w:r>
          </w:p>
        </w:tc>
        <w:tc>
          <w:tcPr>
            <w:tcW w:w="1004" w:type="dxa"/>
            <w:vMerge w:val="restart"/>
            <w:tcBorders>
              <w:left w:val="single" w:sz="2" w:space="0" w:color="000000"/>
              <w:bottom w:val="single" w:sz="2" w:space="0" w:color="000000"/>
              <w:right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в настоящее время</w:t>
            </w:r>
          </w:p>
        </w:tc>
      </w:tr>
      <w:tr w:rsidR="006439B0" w:rsidRPr="006439B0" w:rsidTr="00BA18B0">
        <w:trPr>
          <w:trHeight w:val="20"/>
          <w:jc w:val="center"/>
        </w:trPr>
        <w:tc>
          <w:tcPr>
            <w:tcW w:w="930"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1141"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856"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675"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1021"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706"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1048"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1146"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1530"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1186"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855"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до благоустройства</w:t>
            </w:r>
          </w:p>
        </w:tc>
        <w:tc>
          <w:tcPr>
            <w:tcW w:w="858"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bCs/>
                <w:color w:val="000000" w:themeColor="text1"/>
                <w:sz w:val="20"/>
                <w:szCs w:val="20"/>
              </w:rPr>
            </w:pPr>
            <w:r w:rsidRPr="006439B0">
              <w:rPr>
                <w:rFonts w:ascii="Times New Roman" w:hAnsi="Times New Roman" w:cs="Times New Roman"/>
                <w:bCs/>
                <w:color w:val="000000" w:themeColor="text1"/>
                <w:sz w:val="20"/>
                <w:szCs w:val="20"/>
              </w:rPr>
              <w:t>после благоустройства</w:t>
            </w:r>
          </w:p>
        </w:tc>
        <w:tc>
          <w:tcPr>
            <w:tcW w:w="838"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до благоустройства</w:t>
            </w:r>
          </w:p>
        </w:tc>
        <w:tc>
          <w:tcPr>
            <w:tcW w:w="828"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bCs/>
                <w:color w:val="000000" w:themeColor="text1"/>
                <w:sz w:val="20"/>
                <w:szCs w:val="20"/>
              </w:rPr>
            </w:pPr>
            <w:r w:rsidRPr="006439B0">
              <w:rPr>
                <w:rFonts w:ascii="Times New Roman" w:hAnsi="Times New Roman" w:cs="Times New Roman"/>
                <w:bCs/>
                <w:color w:val="000000" w:themeColor="text1"/>
                <w:sz w:val="20"/>
                <w:szCs w:val="20"/>
              </w:rPr>
              <w:t>после благоустройства</w:t>
            </w:r>
          </w:p>
        </w:tc>
        <w:tc>
          <w:tcPr>
            <w:tcW w:w="1064" w:type="dxa"/>
            <w:vMerge/>
            <w:tcBorders>
              <w:left w:val="single" w:sz="2" w:space="0" w:color="000000"/>
              <w:bottom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c>
          <w:tcPr>
            <w:tcW w:w="1004" w:type="dxa"/>
            <w:vMerge/>
            <w:tcBorders>
              <w:left w:val="single" w:sz="2" w:space="0" w:color="000000"/>
              <w:bottom w:val="single" w:sz="2" w:space="0" w:color="000000"/>
              <w:right w:val="single" w:sz="2" w:space="0" w:color="000000"/>
            </w:tcBorders>
          </w:tcPr>
          <w:p w:rsidR="00961808" w:rsidRPr="006439B0" w:rsidRDefault="00961808" w:rsidP="000A1B00">
            <w:pPr>
              <w:widowControl w:val="0"/>
              <w:suppressAutoHyphens w:val="0"/>
              <w:spacing w:after="0"/>
              <w:jc w:val="center"/>
              <w:rPr>
                <w:rFonts w:ascii="Times New Roman" w:hAnsi="Times New Roman" w:cs="Times New Roman"/>
                <w:color w:val="000000" w:themeColor="text1"/>
                <w:sz w:val="20"/>
                <w:szCs w:val="20"/>
              </w:rPr>
            </w:pPr>
          </w:p>
        </w:tc>
      </w:tr>
      <w:tr w:rsidR="006439B0" w:rsidRPr="006439B0" w:rsidTr="00BA18B0">
        <w:trPr>
          <w:trHeight w:val="20"/>
          <w:jc w:val="center"/>
        </w:trPr>
        <w:tc>
          <w:tcPr>
            <w:tcW w:w="930"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г. Туран</w:t>
            </w:r>
          </w:p>
        </w:tc>
        <w:tc>
          <w:tcPr>
            <w:tcW w:w="1141" w:type="dxa"/>
            <w:tcBorders>
              <w:left w:val="single" w:sz="2" w:space="0" w:color="000000"/>
              <w:bottom w:val="single" w:sz="2" w:space="0" w:color="000000"/>
            </w:tcBorders>
          </w:tcPr>
          <w:p w:rsidR="00961808" w:rsidRPr="006439B0" w:rsidRDefault="00A959A0" w:rsidP="000A1B00">
            <w:pPr>
              <w:widowControl w:val="0"/>
              <w:suppressAutoHyphens w:val="0"/>
              <w:spacing w:after="0"/>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w:t>
            </w:r>
            <w:r w:rsidR="00A72B9C" w:rsidRPr="006439B0">
              <w:rPr>
                <w:rFonts w:ascii="Times New Roman" w:hAnsi="Times New Roman" w:cs="Times New Roman"/>
                <w:color w:val="000000" w:themeColor="text1"/>
                <w:sz w:val="20"/>
                <w:szCs w:val="20"/>
              </w:rPr>
              <w:t>Парк первых русских переселенцев</w:t>
            </w:r>
            <w:r w:rsidRPr="006439B0">
              <w:rPr>
                <w:rFonts w:ascii="Times New Roman" w:hAnsi="Times New Roman" w:cs="Times New Roman"/>
                <w:color w:val="000000" w:themeColor="text1"/>
                <w:sz w:val="20"/>
                <w:szCs w:val="20"/>
              </w:rPr>
              <w:t>»</w:t>
            </w:r>
          </w:p>
        </w:tc>
        <w:tc>
          <w:tcPr>
            <w:tcW w:w="856"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2022-2023</w:t>
            </w:r>
          </w:p>
        </w:tc>
        <w:tc>
          <w:tcPr>
            <w:tcW w:w="675"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3</w:t>
            </w:r>
          </w:p>
        </w:tc>
        <w:tc>
          <w:tcPr>
            <w:tcW w:w="1021"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1</w:t>
            </w:r>
          </w:p>
        </w:tc>
        <w:tc>
          <w:tcPr>
            <w:tcW w:w="706"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5</w:t>
            </w:r>
          </w:p>
        </w:tc>
        <w:tc>
          <w:tcPr>
            <w:tcW w:w="1048"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9</w:t>
            </w:r>
          </w:p>
        </w:tc>
        <w:tc>
          <w:tcPr>
            <w:tcW w:w="1146"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9125</w:t>
            </w:r>
          </w:p>
        </w:tc>
        <w:tc>
          <w:tcPr>
            <w:tcW w:w="1530" w:type="dxa"/>
            <w:tcBorders>
              <w:left w:val="single" w:sz="2" w:space="0" w:color="000000"/>
              <w:bottom w:val="single" w:sz="2" w:space="0" w:color="000000"/>
            </w:tcBorders>
          </w:tcPr>
          <w:p w:rsidR="00961808" w:rsidRPr="006439B0" w:rsidRDefault="00A72B9C" w:rsidP="000A1B00">
            <w:pPr>
              <w:widowControl w:val="0"/>
              <w:suppressAutoHyphens w:val="0"/>
              <w:spacing w:after="0"/>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проведение мероприятий республиканского значения, проведение мастер-классов</w:t>
            </w:r>
          </w:p>
        </w:tc>
        <w:tc>
          <w:tcPr>
            <w:tcW w:w="1186"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0,500</w:t>
            </w:r>
          </w:p>
        </w:tc>
        <w:tc>
          <w:tcPr>
            <w:tcW w:w="855"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22,045</w:t>
            </w:r>
          </w:p>
        </w:tc>
        <w:tc>
          <w:tcPr>
            <w:tcW w:w="858"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23,072</w:t>
            </w:r>
          </w:p>
        </w:tc>
        <w:tc>
          <w:tcPr>
            <w:tcW w:w="838"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47,459</w:t>
            </w:r>
          </w:p>
        </w:tc>
        <w:tc>
          <w:tcPr>
            <w:tcW w:w="828"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51,065</w:t>
            </w:r>
          </w:p>
        </w:tc>
        <w:tc>
          <w:tcPr>
            <w:tcW w:w="1064" w:type="dxa"/>
            <w:tcBorders>
              <w:left w:val="single" w:sz="2" w:space="0" w:color="000000"/>
              <w:bottom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4903</w:t>
            </w:r>
          </w:p>
        </w:tc>
        <w:tc>
          <w:tcPr>
            <w:tcW w:w="1004" w:type="dxa"/>
            <w:tcBorders>
              <w:left w:val="single" w:sz="2" w:space="0" w:color="000000"/>
              <w:bottom w:val="single" w:sz="2" w:space="0" w:color="000000"/>
              <w:right w:val="single" w:sz="2" w:space="0" w:color="000000"/>
            </w:tcBorders>
          </w:tcPr>
          <w:p w:rsidR="00961808" w:rsidRPr="006439B0" w:rsidRDefault="00A72B9C" w:rsidP="000A1B00">
            <w:pPr>
              <w:widowControl w:val="0"/>
              <w:suppressAutoHyphens w:val="0"/>
              <w:spacing w:after="0"/>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4981</w:t>
            </w:r>
          </w:p>
        </w:tc>
      </w:tr>
      <w:tr w:rsidR="006439B0" w:rsidRPr="006439B0" w:rsidTr="00BA18B0">
        <w:trPr>
          <w:trHeight w:val="20"/>
          <w:jc w:val="center"/>
        </w:trPr>
        <w:tc>
          <w:tcPr>
            <w:tcW w:w="930" w:type="dxa"/>
            <w:tcBorders>
              <w:left w:val="single" w:sz="2" w:space="0" w:color="000000"/>
              <w:bottom w:val="single" w:sz="2" w:space="0" w:color="000000"/>
            </w:tcBorders>
          </w:tcPr>
          <w:p w:rsidR="00961808" w:rsidRPr="006439B0" w:rsidRDefault="00A72B9C" w:rsidP="000A1B00">
            <w:pPr>
              <w:widowControl w:val="0"/>
              <w:suppressAutoHyphens w:val="0"/>
              <w:spacing w:line="240" w:lineRule="auto"/>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г. Шагонар</w:t>
            </w:r>
          </w:p>
        </w:tc>
        <w:tc>
          <w:tcPr>
            <w:tcW w:w="1141" w:type="dxa"/>
            <w:tcBorders>
              <w:left w:val="single" w:sz="2" w:space="0" w:color="000000"/>
              <w:bottom w:val="single" w:sz="2" w:space="0" w:color="000000"/>
            </w:tcBorders>
          </w:tcPr>
          <w:p w:rsidR="00961808" w:rsidRPr="006439B0" w:rsidRDefault="00A959A0" w:rsidP="000A1B00">
            <w:pPr>
              <w:widowControl w:val="0"/>
              <w:suppressAutoHyphens w:val="0"/>
              <w:spacing w:line="240" w:lineRule="auto"/>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w:t>
            </w:r>
            <w:r w:rsidR="00A72B9C" w:rsidRPr="006439B0">
              <w:rPr>
                <w:rFonts w:ascii="Times New Roman" w:hAnsi="Times New Roman" w:cs="Times New Roman"/>
                <w:color w:val="000000" w:themeColor="text1"/>
                <w:sz w:val="20"/>
                <w:szCs w:val="20"/>
              </w:rPr>
              <w:t>Парк кочевников Центра Азии</w:t>
            </w:r>
            <w:r w:rsidRPr="006439B0">
              <w:rPr>
                <w:rFonts w:ascii="Times New Roman" w:hAnsi="Times New Roman" w:cs="Times New Roman"/>
                <w:color w:val="000000" w:themeColor="text1"/>
                <w:sz w:val="20"/>
                <w:szCs w:val="20"/>
              </w:rPr>
              <w:t>»</w:t>
            </w:r>
          </w:p>
        </w:tc>
        <w:tc>
          <w:tcPr>
            <w:tcW w:w="856" w:type="dxa"/>
            <w:tcBorders>
              <w:left w:val="single" w:sz="2" w:space="0" w:color="000000"/>
              <w:bottom w:val="single" w:sz="2" w:space="0" w:color="000000"/>
            </w:tcBorders>
          </w:tcPr>
          <w:p w:rsidR="00961808" w:rsidRPr="006439B0" w:rsidRDefault="00A72B9C" w:rsidP="000A1B00">
            <w:pPr>
              <w:widowControl w:val="0"/>
              <w:suppressAutoHyphens w:val="0"/>
              <w:spacing w:line="240" w:lineRule="auto"/>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2023</w:t>
            </w:r>
          </w:p>
        </w:tc>
        <w:tc>
          <w:tcPr>
            <w:tcW w:w="675" w:type="dxa"/>
            <w:tcBorders>
              <w:left w:val="single" w:sz="2" w:space="0" w:color="000000"/>
              <w:bottom w:val="single" w:sz="2" w:space="0" w:color="000000"/>
            </w:tcBorders>
          </w:tcPr>
          <w:p w:rsidR="00961808" w:rsidRPr="006439B0" w:rsidRDefault="00A72B9C" w:rsidP="000A1B00">
            <w:pPr>
              <w:widowControl w:val="0"/>
              <w:suppressAutoHyphens w:val="0"/>
              <w:spacing w:line="240" w:lineRule="auto"/>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2,06</w:t>
            </w:r>
          </w:p>
        </w:tc>
        <w:tc>
          <w:tcPr>
            <w:tcW w:w="1021" w:type="dxa"/>
            <w:tcBorders>
              <w:left w:val="single" w:sz="2" w:space="0" w:color="000000"/>
              <w:bottom w:val="single" w:sz="2" w:space="0" w:color="000000"/>
            </w:tcBorders>
          </w:tcPr>
          <w:p w:rsidR="00961808" w:rsidRPr="006439B0" w:rsidRDefault="00A72B9C" w:rsidP="000A1B00">
            <w:pPr>
              <w:widowControl w:val="0"/>
              <w:suppressAutoHyphens w:val="0"/>
              <w:spacing w:line="240" w:lineRule="auto"/>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3</w:t>
            </w:r>
          </w:p>
        </w:tc>
        <w:tc>
          <w:tcPr>
            <w:tcW w:w="706" w:type="dxa"/>
            <w:tcBorders>
              <w:left w:val="single" w:sz="2" w:space="0" w:color="000000"/>
              <w:bottom w:val="single" w:sz="2" w:space="0" w:color="000000"/>
            </w:tcBorders>
          </w:tcPr>
          <w:p w:rsidR="00961808" w:rsidRPr="006439B0" w:rsidRDefault="00A72B9C" w:rsidP="000A1B00">
            <w:pPr>
              <w:widowControl w:val="0"/>
              <w:suppressAutoHyphens w:val="0"/>
              <w:spacing w:line="240" w:lineRule="auto"/>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7</w:t>
            </w:r>
          </w:p>
        </w:tc>
        <w:tc>
          <w:tcPr>
            <w:tcW w:w="1048" w:type="dxa"/>
            <w:tcBorders>
              <w:left w:val="single" w:sz="2" w:space="0" w:color="000000"/>
              <w:bottom w:val="single" w:sz="2" w:space="0" w:color="000000"/>
            </w:tcBorders>
          </w:tcPr>
          <w:p w:rsidR="00961808" w:rsidRPr="006439B0" w:rsidRDefault="00A72B9C" w:rsidP="000A1B00">
            <w:pPr>
              <w:widowControl w:val="0"/>
              <w:suppressAutoHyphens w:val="0"/>
              <w:spacing w:line="240" w:lineRule="auto"/>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10</w:t>
            </w:r>
          </w:p>
        </w:tc>
        <w:tc>
          <w:tcPr>
            <w:tcW w:w="1146" w:type="dxa"/>
            <w:tcBorders>
              <w:left w:val="single" w:sz="2" w:space="0" w:color="000000"/>
              <w:bottom w:val="single" w:sz="2" w:space="0" w:color="000000"/>
            </w:tcBorders>
          </w:tcPr>
          <w:p w:rsidR="00961808" w:rsidRPr="006439B0" w:rsidRDefault="00A72B9C" w:rsidP="000A1B00">
            <w:pPr>
              <w:widowControl w:val="0"/>
              <w:suppressAutoHyphens w:val="0"/>
              <w:spacing w:line="240" w:lineRule="auto"/>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19000</w:t>
            </w:r>
          </w:p>
        </w:tc>
        <w:tc>
          <w:tcPr>
            <w:tcW w:w="1530" w:type="dxa"/>
            <w:tcBorders>
              <w:left w:val="single" w:sz="2" w:space="0" w:color="000000"/>
              <w:bottom w:val="single" w:sz="2" w:space="0" w:color="000000"/>
            </w:tcBorders>
          </w:tcPr>
          <w:p w:rsidR="00961808" w:rsidRPr="006439B0" w:rsidRDefault="00A72B9C" w:rsidP="000A1B00">
            <w:pPr>
              <w:widowControl w:val="0"/>
              <w:suppressAutoHyphens w:val="0"/>
              <w:spacing w:line="240" w:lineRule="auto"/>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запуск новых проектов по созданию общественных пространств, внедрение городских дизайн кодов</w:t>
            </w:r>
          </w:p>
        </w:tc>
        <w:tc>
          <w:tcPr>
            <w:tcW w:w="1186" w:type="dxa"/>
            <w:tcBorders>
              <w:left w:val="single" w:sz="2" w:space="0" w:color="000000"/>
              <w:bottom w:val="single" w:sz="2" w:space="0" w:color="000000"/>
            </w:tcBorders>
          </w:tcPr>
          <w:p w:rsidR="00961808" w:rsidRPr="006439B0" w:rsidRDefault="00A72B9C" w:rsidP="000A1B00">
            <w:pPr>
              <w:widowControl w:val="0"/>
              <w:suppressAutoHyphens w:val="0"/>
              <w:spacing w:line="240" w:lineRule="auto"/>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8,000</w:t>
            </w:r>
          </w:p>
        </w:tc>
        <w:tc>
          <w:tcPr>
            <w:tcW w:w="855" w:type="dxa"/>
            <w:tcBorders>
              <w:left w:val="single" w:sz="2" w:space="0" w:color="000000"/>
              <w:bottom w:val="single" w:sz="2" w:space="0" w:color="000000"/>
            </w:tcBorders>
          </w:tcPr>
          <w:p w:rsidR="00961808" w:rsidRPr="006439B0" w:rsidRDefault="00A72B9C" w:rsidP="000A1B00">
            <w:pPr>
              <w:widowControl w:val="0"/>
              <w:suppressAutoHyphens w:val="0"/>
              <w:spacing w:line="240" w:lineRule="auto"/>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18,750</w:t>
            </w:r>
          </w:p>
        </w:tc>
        <w:tc>
          <w:tcPr>
            <w:tcW w:w="858" w:type="dxa"/>
            <w:tcBorders>
              <w:left w:val="single" w:sz="2" w:space="0" w:color="000000"/>
              <w:bottom w:val="single" w:sz="2" w:space="0" w:color="000000"/>
            </w:tcBorders>
          </w:tcPr>
          <w:p w:rsidR="00961808" w:rsidRPr="006439B0" w:rsidRDefault="00A72B9C" w:rsidP="000A1B00">
            <w:pPr>
              <w:widowControl w:val="0"/>
              <w:suppressAutoHyphens w:val="0"/>
              <w:spacing w:line="240" w:lineRule="auto"/>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85,000</w:t>
            </w:r>
          </w:p>
        </w:tc>
        <w:tc>
          <w:tcPr>
            <w:tcW w:w="838" w:type="dxa"/>
            <w:tcBorders>
              <w:left w:val="single" w:sz="2" w:space="0" w:color="000000"/>
              <w:bottom w:val="single" w:sz="2" w:space="0" w:color="000000"/>
            </w:tcBorders>
          </w:tcPr>
          <w:p w:rsidR="00961808" w:rsidRPr="006439B0" w:rsidRDefault="00A72B9C" w:rsidP="000A1B00">
            <w:pPr>
              <w:widowControl w:val="0"/>
              <w:suppressAutoHyphens w:val="0"/>
              <w:spacing w:line="240" w:lineRule="auto"/>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6,000</w:t>
            </w:r>
          </w:p>
        </w:tc>
        <w:tc>
          <w:tcPr>
            <w:tcW w:w="828" w:type="dxa"/>
            <w:tcBorders>
              <w:left w:val="single" w:sz="2" w:space="0" w:color="000000"/>
              <w:bottom w:val="single" w:sz="2" w:space="0" w:color="000000"/>
            </w:tcBorders>
          </w:tcPr>
          <w:p w:rsidR="00961808" w:rsidRPr="006439B0" w:rsidRDefault="00A72B9C" w:rsidP="000A1B00">
            <w:pPr>
              <w:widowControl w:val="0"/>
              <w:suppressAutoHyphens w:val="0"/>
              <w:spacing w:line="240" w:lineRule="auto"/>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50,000</w:t>
            </w:r>
          </w:p>
        </w:tc>
        <w:tc>
          <w:tcPr>
            <w:tcW w:w="1064" w:type="dxa"/>
            <w:tcBorders>
              <w:left w:val="single" w:sz="2" w:space="0" w:color="000000"/>
              <w:bottom w:val="single" w:sz="2" w:space="0" w:color="000000"/>
            </w:tcBorders>
          </w:tcPr>
          <w:p w:rsidR="00961808" w:rsidRPr="006439B0" w:rsidRDefault="00A72B9C" w:rsidP="000A1B00">
            <w:pPr>
              <w:widowControl w:val="0"/>
              <w:suppressAutoHyphens w:val="0"/>
              <w:spacing w:line="240" w:lineRule="auto"/>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11347</w:t>
            </w:r>
          </w:p>
        </w:tc>
        <w:tc>
          <w:tcPr>
            <w:tcW w:w="1004" w:type="dxa"/>
            <w:tcBorders>
              <w:left w:val="single" w:sz="2" w:space="0" w:color="000000"/>
              <w:bottom w:val="single" w:sz="2" w:space="0" w:color="000000"/>
              <w:right w:val="single" w:sz="2" w:space="0" w:color="000000"/>
            </w:tcBorders>
          </w:tcPr>
          <w:p w:rsidR="00961808" w:rsidRPr="006439B0" w:rsidRDefault="00A72B9C" w:rsidP="000A1B00">
            <w:pPr>
              <w:widowControl w:val="0"/>
              <w:suppressAutoHyphens w:val="0"/>
              <w:spacing w:line="240" w:lineRule="auto"/>
              <w:jc w:val="center"/>
              <w:rPr>
                <w:rFonts w:ascii="Times New Roman" w:hAnsi="Times New Roman" w:cs="Times New Roman"/>
                <w:color w:val="000000" w:themeColor="text1"/>
                <w:sz w:val="20"/>
                <w:szCs w:val="20"/>
              </w:rPr>
            </w:pPr>
            <w:r w:rsidRPr="006439B0">
              <w:rPr>
                <w:rFonts w:ascii="Times New Roman" w:hAnsi="Times New Roman" w:cs="Times New Roman"/>
                <w:color w:val="000000" w:themeColor="text1"/>
                <w:sz w:val="20"/>
                <w:szCs w:val="20"/>
              </w:rPr>
              <w:t>11724</w:t>
            </w:r>
          </w:p>
        </w:tc>
      </w:tr>
    </w:tbl>
    <w:p w:rsidR="00961808" w:rsidRPr="006439B0" w:rsidRDefault="00A72B9C" w:rsidP="000A1B00">
      <w:pPr>
        <w:shd w:val="clear" w:color="auto" w:fill="FFFFFF" w:themeFill="background1"/>
        <w:suppressAutoHyphens w:val="0"/>
        <w:spacing w:before="240" w:line="240" w:lineRule="auto"/>
        <w:ind w:firstLine="540"/>
        <w:jc w:val="center"/>
        <w:outlineLvl w:val="0"/>
        <w:rPr>
          <w:rFonts w:ascii="Times New Roman" w:eastAsiaTheme="minorHAnsi" w:hAnsi="Times New Roman" w:cs="Times New Roman"/>
          <w:bCs/>
          <w:color w:val="000000" w:themeColor="text1"/>
          <w:sz w:val="28"/>
          <w:szCs w:val="28"/>
          <w:lang w:eastAsia="en-US"/>
        </w:rPr>
      </w:pPr>
      <w:r w:rsidRPr="006439B0">
        <w:rPr>
          <w:rFonts w:ascii="Times New Roman" w:eastAsiaTheme="minorHAnsi" w:hAnsi="Times New Roman" w:cs="Times New Roman"/>
          <w:bCs/>
          <w:color w:val="000000" w:themeColor="text1"/>
          <w:sz w:val="28"/>
          <w:szCs w:val="28"/>
          <w:lang w:eastAsia="en-US"/>
        </w:rPr>
        <w:lastRenderedPageBreak/>
        <w:t xml:space="preserve">3. Финансирование </w:t>
      </w:r>
      <w:r w:rsidR="00DD3950">
        <w:rPr>
          <w:rFonts w:ascii="Times New Roman" w:eastAsiaTheme="minorHAnsi" w:hAnsi="Times New Roman" w:cs="Times New Roman"/>
          <w:bCs/>
          <w:color w:val="000000" w:themeColor="text1"/>
          <w:sz w:val="28"/>
          <w:szCs w:val="28"/>
          <w:lang w:eastAsia="en-US"/>
        </w:rPr>
        <w:t>П</w:t>
      </w:r>
      <w:r w:rsidRPr="006439B0">
        <w:rPr>
          <w:rFonts w:ascii="Times New Roman" w:eastAsiaTheme="minorHAnsi" w:hAnsi="Times New Roman" w:cs="Times New Roman"/>
          <w:bCs/>
          <w:color w:val="000000" w:themeColor="text1"/>
          <w:sz w:val="28"/>
          <w:szCs w:val="28"/>
          <w:lang w:eastAsia="en-US"/>
        </w:rPr>
        <w:t>рограммы</w:t>
      </w:r>
    </w:p>
    <w:tbl>
      <w:tblPr>
        <w:tblStyle w:val="af6"/>
        <w:tblW w:w="16160" w:type="dxa"/>
        <w:jc w:val="center"/>
        <w:tblLayout w:type="fixed"/>
        <w:tblCellMar>
          <w:left w:w="57" w:type="dxa"/>
          <w:right w:w="57" w:type="dxa"/>
        </w:tblCellMar>
        <w:tblLook w:val="04A0" w:firstRow="1" w:lastRow="0" w:firstColumn="1" w:lastColumn="0" w:noHBand="0" w:noVBand="1"/>
      </w:tblPr>
      <w:tblGrid>
        <w:gridCol w:w="3489"/>
        <w:gridCol w:w="3969"/>
        <w:gridCol w:w="1842"/>
        <w:gridCol w:w="1134"/>
        <w:gridCol w:w="1134"/>
        <w:gridCol w:w="1134"/>
        <w:gridCol w:w="1134"/>
        <w:gridCol w:w="1134"/>
        <w:gridCol w:w="1190"/>
      </w:tblGrid>
      <w:tr w:rsidR="00AC1731" w:rsidRPr="00AC1731" w:rsidTr="008B5F56">
        <w:trPr>
          <w:trHeight w:val="20"/>
          <w:jc w:val="center"/>
        </w:trPr>
        <w:tc>
          <w:tcPr>
            <w:tcW w:w="3489" w:type="dxa"/>
            <w:vMerge w:val="restart"/>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Наименование мероприятия</w:t>
            </w:r>
          </w:p>
        </w:tc>
        <w:tc>
          <w:tcPr>
            <w:tcW w:w="3969" w:type="dxa"/>
            <w:vMerge w:val="restart"/>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Источники финансирования</w:t>
            </w:r>
          </w:p>
        </w:tc>
        <w:tc>
          <w:tcPr>
            <w:tcW w:w="1842" w:type="dxa"/>
            <w:vMerge w:val="restart"/>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Объем финансирования, всего, тыс. рублей</w:t>
            </w:r>
          </w:p>
        </w:tc>
        <w:tc>
          <w:tcPr>
            <w:tcW w:w="6860" w:type="dxa"/>
            <w:gridSpan w:val="6"/>
            <w:hideMark/>
          </w:tcPr>
          <w:p w:rsidR="00A73B6B" w:rsidRPr="00AC1731" w:rsidRDefault="00AC1731"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В том числе по годам</w:t>
            </w:r>
          </w:p>
        </w:tc>
      </w:tr>
      <w:tr w:rsidR="00AC1731" w:rsidRPr="00AC1731" w:rsidTr="008B5F56">
        <w:trPr>
          <w:trHeight w:val="253"/>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1842"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1134" w:type="dxa"/>
            <w:vMerge w:val="restart"/>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2018</w:t>
            </w:r>
          </w:p>
        </w:tc>
        <w:tc>
          <w:tcPr>
            <w:tcW w:w="1134" w:type="dxa"/>
            <w:vMerge w:val="restart"/>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2019</w:t>
            </w:r>
          </w:p>
        </w:tc>
        <w:tc>
          <w:tcPr>
            <w:tcW w:w="1134" w:type="dxa"/>
            <w:vMerge w:val="restart"/>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2020</w:t>
            </w:r>
          </w:p>
        </w:tc>
        <w:tc>
          <w:tcPr>
            <w:tcW w:w="1134" w:type="dxa"/>
            <w:vMerge w:val="restart"/>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2021</w:t>
            </w:r>
          </w:p>
        </w:tc>
        <w:tc>
          <w:tcPr>
            <w:tcW w:w="1134" w:type="dxa"/>
            <w:vMerge w:val="restart"/>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2022</w:t>
            </w:r>
          </w:p>
        </w:tc>
        <w:tc>
          <w:tcPr>
            <w:tcW w:w="1190" w:type="dxa"/>
            <w:vMerge w:val="restart"/>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2023</w:t>
            </w:r>
          </w:p>
        </w:tc>
      </w:tr>
      <w:tr w:rsidR="00AC1731" w:rsidRPr="00AC1731" w:rsidTr="00AC1731">
        <w:trPr>
          <w:trHeight w:val="253"/>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1842"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1134"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1134"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1134"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1134"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1134"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1190"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r>
      <w:tr w:rsidR="00AC1731" w:rsidRPr="00AC1731" w:rsidTr="008B5F56">
        <w:trPr>
          <w:trHeight w:val="20"/>
          <w:jc w:val="center"/>
        </w:trPr>
        <w:tc>
          <w:tcPr>
            <w:tcW w:w="3489" w:type="dxa"/>
            <w:vMerge w:val="restart"/>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 1. Благоустройство дворовых и общественных территорий многоквартирных домов</w:t>
            </w: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итого</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551 812,24</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74 158,76</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102 849,06</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95 442,24</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88 918,27</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88 423,71</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102 020,20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федеральный бюджет</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525 478,10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65 881,70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96 259,00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89 988,40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86 667,50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86 681,50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100 000,00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республиканский бюджет</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8 101,00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3 467,46</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972,31</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908,97</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875,43</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866,73</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1 010,10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местный бюджет</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17 183,14</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4 759,60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5 117,74</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4 544,87</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875,34</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875,48</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1 010,10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внебюджетные средства</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1 050,00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50,00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500,00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500,00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r>
      <w:tr w:rsidR="00AC1731" w:rsidRPr="00AC1731" w:rsidTr="008B5F56">
        <w:trPr>
          <w:trHeight w:val="20"/>
          <w:jc w:val="center"/>
        </w:trPr>
        <w:tc>
          <w:tcPr>
            <w:tcW w:w="3489" w:type="dxa"/>
            <w:vMerge w:val="restart"/>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1.2. Благоустройство мест массового отдыха населения (городских парков)</w:t>
            </w: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итого</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3 623,00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3 623,00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0,00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федеральный бюджет</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2 825,40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2 825,40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республиканский бюджет</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148,80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148,80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местный бюджет</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148,80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148,80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внебюджетные средства</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500,00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500,00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r>
      <w:tr w:rsidR="00AC1731" w:rsidRPr="00AC1731" w:rsidTr="008B5F56">
        <w:trPr>
          <w:trHeight w:val="20"/>
          <w:jc w:val="center"/>
        </w:trPr>
        <w:tc>
          <w:tcPr>
            <w:tcW w:w="3489" w:type="dxa"/>
            <w:vMerge w:val="restart"/>
            <w:hideMark/>
          </w:tcPr>
          <w:p w:rsidR="00A73B6B" w:rsidRPr="00AC1731" w:rsidRDefault="00A73B6B" w:rsidP="00DD395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1.3. Реализация мероприятий проекта по циф</w:t>
            </w:r>
            <w:r w:rsidR="00DD3950">
              <w:rPr>
                <w:rFonts w:ascii="Times New Roman" w:eastAsia="Times New Roman" w:hAnsi="Times New Roman" w:cs="Times New Roman"/>
                <w:color w:val="000000" w:themeColor="text1"/>
              </w:rPr>
              <w:t>ровизации городского хозяйства «</w:t>
            </w:r>
            <w:r w:rsidRPr="00AC1731">
              <w:rPr>
                <w:rFonts w:ascii="Times New Roman" w:eastAsia="Times New Roman" w:hAnsi="Times New Roman" w:cs="Times New Roman"/>
                <w:color w:val="000000" w:themeColor="text1"/>
              </w:rPr>
              <w:t>Умный город</w:t>
            </w:r>
            <w:r w:rsidR="00DD3950">
              <w:rPr>
                <w:rFonts w:ascii="Times New Roman" w:eastAsia="Times New Roman" w:hAnsi="Times New Roman" w:cs="Times New Roman"/>
                <w:color w:val="000000" w:themeColor="text1"/>
              </w:rPr>
              <w:t>»</w:t>
            </w: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итого</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47 500,00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 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 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47 500,00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0,00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федеральный бюджет</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 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республиканский бюджет</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 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местный бюджет</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500,00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 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500,00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внебюджетные средства</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47 000,00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 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47 000,00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r>
      <w:tr w:rsidR="00AC1731" w:rsidRPr="00AC1731" w:rsidTr="008B5F56">
        <w:trPr>
          <w:trHeight w:val="20"/>
          <w:jc w:val="center"/>
        </w:trPr>
        <w:tc>
          <w:tcPr>
            <w:tcW w:w="3489" w:type="dxa"/>
            <w:vMerge w:val="restart"/>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 xml:space="preserve">1.4. Реализация проектов благоустройства муниципальных образований </w:t>
            </w:r>
            <w:r w:rsidR="00AC1731" w:rsidRPr="00AC1731">
              <w:rPr>
                <w:rFonts w:ascii="Times New Roman" w:eastAsia="Times New Roman" w:hAnsi="Times New Roman" w:cs="Times New Roman"/>
                <w:color w:val="000000" w:themeColor="text1"/>
              </w:rPr>
              <w:t>–</w:t>
            </w:r>
            <w:r w:rsidRPr="00AC1731">
              <w:rPr>
                <w:rFonts w:ascii="Times New Roman" w:eastAsia="Times New Roman" w:hAnsi="Times New Roman" w:cs="Times New Roman"/>
                <w:color w:val="000000" w:themeColor="text1"/>
              </w:rPr>
              <w:t xml:space="preserve"> победителей Всероссийского конкурса лучших проектов создания комфортной городской среды в малых городах и исторических поселениях</w:t>
            </w: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итого</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150 500,00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76 500,00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74 000,00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федеральный бюджет</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120 000,00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50 000,00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70 000,00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резервный фонд правительства российской федерации</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25 000,00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25 000,00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республиканский бюджет</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1 750,00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750,00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1 000,00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местный бюджет</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1 750,00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750,00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1 000,00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внебюджетные средства</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2 000,00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2 000,00</w:t>
            </w:r>
          </w:p>
        </w:tc>
      </w:tr>
      <w:tr w:rsidR="00AC1731" w:rsidRPr="00AC1731" w:rsidTr="008B5F56">
        <w:trPr>
          <w:trHeight w:val="20"/>
          <w:jc w:val="center"/>
        </w:trPr>
        <w:tc>
          <w:tcPr>
            <w:tcW w:w="3489" w:type="dxa"/>
            <w:vMerge w:val="restart"/>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Всего по Программе</w:t>
            </w: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итого</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753 435,24</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77 781,76</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102 849,06</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95 442,24</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136 418,27</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164 923,71</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bCs/>
                <w:color w:val="000000" w:themeColor="text1"/>
              </w:rPr>
            </w:pPr>
            <w:r w:rsidRPr="00AC1731">
              <w:rPr>
                <w:rFonts w:ascii="Times New Roman" w:eastAsia="Times New Roman" w:hAnsi="Times New Roman" w:cs="Times New Roman"/>
                <w:bCs/>
                <w:color w:val="000000" w:themeColor="text1"/>
              </w:rPr>
              <w:t>176 020,20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федеральный бюджет</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648 303,50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68 707,10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96 259,00</w:t>
            </w:r>
          </w:p>
        </w:tc>
        <w:tc>
          <w:tcPr>
            <w:tcW w:w="1134" w:type="dxa"/>
            <w:noWrap/>
            <w:hideMark/>
          </w:tcPr>
          <w:p w:rsidR="00A73B6B" w:rsidRPr="00AC1731" w:rsidRDefault="00A73B6B" w:rsidP="000A1B00">
            <w:pPr>
              <w:suppressAutoHyphens w:val="0"/>
              <w:spacing w:after="0" w:line="240" w:lineRule="auto"/>
              <w:jc w:val="right"/>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89 988,40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86 667,50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136 681,50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170 000,00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резервный фонд правительства российской федерации</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25 000,00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25 000,00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республиканский бюджет</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9 999,80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3 616,26</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972,31</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908,97</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875,43</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1 616,73</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2 010,10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местный бюджет</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19 581,94</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4 908,40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5 117,74</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4 544,87</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1 375,34</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1 625,48</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2 010,10</w:t>
            </w:r>
          </w:p>
        </w:tc>
      </w:tr>
      <w:tr w:rsidR="00AC1731" w:rsidRPr="00AC1731" w:rsidTr="008B5F56">
        <w:trPr>
          <w:trHeight w:val="20"/>
          <w:jc w:val="center"/>
        </w:trPr>
        <w:tc>
          <w:tcPr>
            <w:tcW w:w="3489" w:type="dxa"/>
            <w:vMerge/>
            <w:hideMark/>
          </w:tcPr>
          <w:p w:rsidR="00A73B6B" w:rsidRPr="00AC1731" w:rsidRDefault="00A73B6B" w:rsidP="000A1B00">
            <w:pPr>
              <w:suppressAutoHyphens w:val="0"/>
              <w:spacing w:after="0" w:line="240" w:lineRule="auto"/>
              <w:rPr>
                <w:rFonts w:ascii="Times New Roman" w:eastAsia="Times New Roman" w:hAnsi="Times New Roman" w:cs="Times New Roman"/>
                <w:color w:val="000000" w:themeColor="text1"/>
              </w:rPr>
            </w:pPr>
          </w:p>
        </w:tc>
        <w:tc>
          <w:tcPr>
            <w:tcW w:w="3969" w:type="dxa"/>
            <w:hideMark/>
          </w:tcPr>
          <w:p w:rsidR="00A73B6B" w:rsidRPr="00AC1731" w:rsidRDefault="00AC1731" w:rsidP="000A1B00">
            <w:pPr>
              <w:suppressAutoHyphens w:val="0"/>
              <w:spacing w:after="0" w:line="240" w:lineRule="auto"/>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внебюджетные средства</w:t>
            </w:r>
          </w:p>
        </w:tc>
        <w:tc>
          <w:tcPr>
            <w:tcW w:w="1842"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50 550,00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550,00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500,00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47 500,00</w:t>
            </w:r>
          </w:p>
        </w:tc>
        <w:tc>
          <w:tcPr>
            <w:tcW w:w="1134"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0,00</w:t>
            </w:r>
          </w:p>
        </w:tc>
        <w:tc>
          <w:tcPr>
            <w:tcW w:w="1190" w:type="dxa"/>
            <w:noWrap/>
            <w:hideMark/>
          </w:tcPr>
          <w:p w:rsidR="00A73B6B" w:rsidRPr="00AC1731" w:rsidRDefault="00A73B6B" w:rsidP="000A1B00">
            <w:pPr>
              <w:suppressAutoHyphens w:val="0"/>
              <w:spacing w:after="0" w:line="240" w:lineRule="auto"/>
              <w:jc w:val="center"/>
              <w:rPr>
                <w:rFonts w:ascii="Times New Roman" w:eastAsia="Times New Roman" w:hAnsi="Times New Roman" w:cs="Times New Roman"/>
                <w:color w:val="000000" w:themeColor="text1"/>
              </w:rPr>
            </w:pPr>
            <w:r w:rsidRPr="00AC1731">
              <w:rPr>
                <w:rFonts w:ascii="Times New Roman" w:eastAsia="Times New Roman" w:hAnsi="Times New Roman" w:cs="Times New Roman"/>
                <w:color w:val="000000" w:themeColor="text1"/>
              </w:rPr>
              <w:t>2 000,00</w:t>
            </w:r>
          </w:p>
        </w:tc>
      </w:tr>
    </w:tbl>
    <w:p w:rsidR="00644FD7" w:rsidRDefault="00644FD7" w:rsidP="000A1B00">
      <w:pPr>
        <w:shd w:val="clear" w:color="auto" w:fill="FFFFFF" w:themeFill="background1"/>
        <w:suppressAutoHyphens w:val="0"/>
        <w:spacing w:before="240" w:line="240" w:lineRule="auto"/>
        <w:ind w:firstLine="540"/>
        <w:jc w:val="center"/>
        <w:outlineLvl w:val="0"/>
        <w:rPr>
          <w:rFonts w:ascii="Times New Roman" w:eastAsiaTheme="minorHAnsi" w:hAnsi="Times New Roman" w:cs="Times New Roman"/>
          <w:bCs/>
          <w:color w:val="000000" w:themeColor="text1"/>
          <w:sz w:val="28"/>
          <w:szCs w:val="28"/>
          <w:lang w:eastAsia="en-US"/>
        </w:rPr>
        <w:sectPr w:rsidR="00644FD7" w:rsidSect="00BA18B0">
          <w:pgSz w:w="16838" w:h="11906" w:orient="landscape"/>
          <w:pgMar w:top="1134" w:right="567" w:bottom="1701" w:left="567" w:header="680" w:footer="680" w:gutter="0"/>
          <w:cols w:space="720"/>
          <w:formProt w:val="0"/>
          <w:docGrid w:linePitch="360" w:charSpace="12288"/>
        </w:sectPr>
      </w:pPr>
    </w:p>
    <w:p w:rsidR="00A73B6B" w:rsidRDefault="00EB4AC4" w:rsidP="000A1B00">
      <w:pPr>
        <w:shd w:val="clear" w:color="auto" w:fill="FFFFFF" w:themeFill="background1"/>
        <w:suppressAutoHyphens w:val="0"/>
        <w:spacing w:after="0" w:line="240" w:lineRule="auto"/>
        <w:jc w:val="center"/>
        <w:outlineLvl w:val="0"/>
        <w:rPr>
          <w:rFonts w:ascii="Times New Roman" w:eastAsiaTheme="minorHAnsi" w:hAnsi="Times New Roman" w:cs="Times New Roman"/>
          <w:bCs/>
          <w:sz w:val="28"/>
          <w:szCs w:val="28"/>
          <w:lang w:eastAsia="en-US"/>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_x0000_tole_rId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818DA" id="_x0000_tole_rId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BWpXeddAgAAsQQAAA4AAAAAAAAAAAAAAAAALgIAAGRycy9lMm9Eb2MueG1sUEsB&#10;Ai0AFAAGAAgAAAAhAIZbh9XYAAAABQEAAA8AAAAAAAAAAAAAAAAAtwQAAGRycy9kb3ducmV2Lnht&#10;bFBLBQYAAAAABAAEAPMAAAC8BQAAAAA=&#10;" filled="f" stroked="f">
                <o:lock v:ext="edit" aspectratio="t" selection="t"/>
              </v:rect>
            </w:pict>
          </mc:Fallback>
        </mc:AlternateContent>
      </w:r>
      <w:r w:rsidR="00A73B6B">
        <w:rPr>
          <w:rFonts w:ascii="Times New Roman" w:eastAsiaTheme="minorHAnsi" w:hAnsi="Times New Roman" w:cs="Times New Roman"/>
          <w:bCs/>
          <w:sz w:val="28"/>
          <w:szCs w:val="28"/>
          <w:lang w:eastAsia="en-US"/>
        </w:rPr>
        <w:t>4. Оценка эффективности реализации государственной программы</w:t>
      </w:r>
    </w:p>
    <w:p w:rsidR="000A1B00" w:rsidRDefault="000A1B00" w:rsidP="000A1B00">
      <w:pPr>
        <w:shd w:val="clear" w:color="auto" w:fill="FFFFFF" w:themeFill="background1"/>
        <w:suppressAutoHyphens w:val="0"/>
        <w:spacing w:after="0" w:line="240" w:lineRule="auto"/>
        <w:jc w:val="center"/>
        <w:outlineLvl w:val="0"/>
        <w:rPr>
          <w:rFonts w:ascii="Times New Roman" w:eastAsiaTheme="minorHAnsi" w:hAnsi="Times New Roman" w:cs="Times New Roman"/>
          <w:bCs/>
          <w:sz w:val="28"/>
          <w:szCs w:val="28"/>
          <w:lang w:eastAsia="en-US"/>
        </w:rPr>
      </w:pPr>
    </w:p>
    <w:p w:rsidR="00A73B6B" w:rsidRDefault="00A73B6B"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В рамках реализации мероприятий Программы предусмотрено достижение следующих целевых индикаторов:</w:t>
      </w:r>
    </w:p>
    <w:p w:rsidR="00A73B6B" w:rsidRDefault="00A73B6B"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 утверждение нормативным правовым актом Республики Тыва правил предоставления и распределения субсидий из республиканского бюджета Республики Тыва бюджетам городских округов в 2018-2024 годах на поддержку благоустройства мест массового отдыха населения (городских парков), 100</w:t>
      </w:r>
      <w:r w:rsidR="000A1B00">
        <w:rPr>
          <w:rFonts w:ascii="Times New Roman" w:eastAsiaTheme="minorHAnsi" w:hAnsi="Times New Roman" w:cs="Times New Roman"/>
          <w:bCs/>
          <w:sz w:val="28"/>
          <w:szCs w:val="28"/>
          <w:lang w:eastAsia="en-US"/>
        </w:rPr>
        <w:t xml:space="preserve"> процентов</w:t>
      </w:r>
      <w:r>
        <w:rPr>
          <w:rFonts w:ascii="Times New Roman" w:eastAsiaTheme="minorHAnsi" w:hAnsi="Times New Roman" w:cs="Times New Roman"/>
          <w:bCs/>
          <w:sz w:val="28"/>
          <w:szCs w:val="28"/>
          <w:lang w:eastAsia="en-US"/>
        </w:rPr>
        <w:t>;</w:t>
      </w:r>
    </w:p>
    <w:p w:rsidR="00A73B6B" w:rsidRDefault="00A73B6B"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 утверждение и опубликование порядка и сроков предоставления, рассмотрения и оценки предложений граждан, организаций о выборе парка, подлежащего благоустройству в 2018 году, и перечня мероприятий по благоустройству в 2018 году, с учетом результатов общественного обсуждения, 100</w:t>
      </w:r>
      <w:r w:rsidR="000A1B00">
        <w:rPr>
          <w:rFonts w:ascii="Times New Roman" w:eastAsiaTheme="minorHAnsi" w:hAnsi="Times New Roman" w:cs="Times New Roman"/>
          <w:bCs/>
          <w:sz w:val="28"/>
          <w:szCs w:val="28"/>
          <w:lang w:eastAsia="en-US"/>
        </w:rPr>
        <w:t xml:space="preserve"> процентов</w:t>
      </w:r>
      <w:r>
        <w:rPr>
          <w:rFonts w:ascii="Times New Roman" w:eastAsiaTheme="minorHAnsi" w:hAnsi="Times New Roman" w:cs="Times New Roman"/>
          <w:bCs/>
          <w:sz w:val="28"/>
          <w:szCs w:val="28"/>
          <w:lang w:eastAsia="en-US"/>
        </w:rPr>
        <w:t>;</w:t>
      </w:r>
    </w:p>
    <w:p w:rsidR="00A73B6B" w:rsidRDefault="00A73B6B"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 утверждение дизайн-проекта благоустройства парка, подлежащего благоустройству в 2018 году, и перечня мероприятий по благоустройству с учетом результатов общественных обсуждений продолжительностью не менее 30 календарных дней со дня объявления обсуждения, 100</w:t>
      </w:r>
      <w:r w:rsidR="000A1B00">
        <w:rPr>
          <w:rFonts w:ascii="Times New Roman" w:eastAsiaTheme="minorHAnsi" w:hAnsi="Times New Roman" w:cs="Times New Roman"/>
          <w:bCs/>
          <w:sz w:val="28"/>
          <w:szCs w:val="28"/>
          <w:lang w:eastAsia="en-US"/>
        </w:rPr>
        <w:t xml:space="preserve"> процентов</w:t>
      </w:r>
      <w:r>
        <w:rPr>
          <w:rFonts w:ascii="Times New Roman" w:eastAsiaTheme="minorHAnsi" w:hAnsi="Times New Roman" w:cs="Times New Roman"/>
          <w:bCs/>
          <w:sz w:val="28"/>
          <w:szCs w:val="28"/>
          <w:lang w:eastAsia="en-US"/>
        </w:rPr>
        <w:t>;</w:t>
      </w:r>
    </w:p>
    <w:p w:rsidR="00A73B6B" w:rsidRDefault="00A73B6B"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 доля реализованных муниципальных программ по формированию современной городской среды в общем количестве проектов благоустройства, предусмотренных к реализации в рамках муниципальных программ, достижение 100</w:t>
      </w:r>
      <w:r w:rsidR="000A1B00">
        <w:rPr>
          <w:rFonts w:ascii="Times New Roman" w:eastAsiaTheme="minorHAnsi" w:hAnsi="Times New Roman" w:cs="Times New Roman"/>
          <w:bCs/>
          <w:sz w:val="28"/>
          <w:szCs w:val="28"/>
          <w:lang w:eastAsia="en-US"/>
        </w:rPr>
        <w:t xml:space="preserve"> процентов</w:t>
      </w:r>
      <w:r>
        <w:rPr>
          <w:rFonts w:ascii="Times New Roman" w:eastAsiaTheme="minorHAnsi" w:hAnsi="Times New Roman" w:cs="Times New Roman"/>
          <w:bCs/>
          <w:sz w:val="28"/>
          <w:szCs w:val="28"/>
          <w:lang w:eastAsia="en-US"/>
        </w:rPr>
        <w:t xml:space="preserve"> из 90</w:t>
      </w:r>
      <w:r w:rsidR="000A1B00">
        <w:rPr>
          <w:rFonts w:ascii="Times New Roman" w:eastAsiaTheme="minorHAnsi" w:hAnsi="Times New Roman" w:cs="Times New Roman"/>
          <w:bCs/>
          <w:sz w:val="28"/>
          <w:szCs w:val="28"/>
          <w:lang w:eastAsia="en-US"/>
        </w:rPr>
        <w:t xml:space="preserve"> процентов</w:t>
      </w:r>
      <w:r>
        <w:rPr>
          <w:rFonts w:ascii="Times New Roman" w:eastAsiaTheme="minorHAnsi" w:hAnsi="Times New Roman" w:cs="Times New Roman"/>
          <w:bCs/>
          <w:sz w:val="28"/>
          <w:szCs w:val="28"/>
          <w:lang w:eastAsia="en-US"/>
        </w:rPr>
        <w:t>;</w:t>
      </w:r>
    </w:p>
    <w:p w:rsidR="00A73B6B" w:rsidRDefault="00A73B6B"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5) доля реализованных проектов благоустройства в общем количестве проектов благоустройства, предусмотренных к реализации в рамках муниципальных программ, достижение 100</w:t>
      </w:r>
      <w:r w:rsidR="000A1B00">
        <w:rPr>
          <w:rFonts w:ascii="Times New Roman" w:eastAsiaTheme="minorHAnsi" w:hAnsi="Times New Roman" w:cs="Times New Roman"/>
          <w:bCs/>
          <w:sz w:val="28"/>
          <w:szCs w:val="28"/>
          <w:lang w:eastAsia="en-US"/>
        </w:rPr>
        <w:t xml:space="preserve"> процентов</w:t>
      </w:r>
      <w:r>
        <w:rPr>
          <w:rFonts w:ascii="Times New Roman" w:eastAsiaTheme="minorHAnsi" w:hAnsi="Times New Roman" w:cs="Times New Roman"/>
          <w:bCs/>
          <w:sz w:val="28"/>
          <w:szCs w:val="28"/>
          <w:lang w:eastAsia="en-US"/>
        </w:rPr>
        <w:t xml:space="preserve"> из 100</w:t>
      </w:r>
      <w:r w:rsidR="000A1B00">
        <w:rPr>
          <w:rFonts w:ascii="Times New Roman" w:eastAsiaTheme="minorHAnsi" w:hAnsi="Times New Roman" w:cs="Times New Roman"/>
          <w:bCs/>
          <w:sz w:val="28"/>
          <w:szCs w:val="28"/>
          <w:lang w:eastAsia="en-US"/>
        </w:rPr>
        <w:t xml:space="preserve"> процентов</w:t>
      </w:r>
      <w:r>
        <w:rPr>
          <w:rFonts w:ascii="Times New Roman" w:eastAsiaTheme="minorHAnsi" w:hAnsi="Times New Roman" w:cs="Times New Roman"/>
          <w:bCs/>
          <w:sz w:val="28"/>
          <w:szCs w:val="28"/>
          <w:lang w:eastAsia="en-US"/>
        </w:rPr>
        <w:t>;</w:t>
      </w:r>
    </w:p>
    <w:p w:rsidR="00A73B6B" w:rsidRPr="000A1B00" w:rsidRDefault="00A73B6B"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6) доля реализованных в отчетном месяце проектов благоустройства дворовых территорий муниципальных образований Республики Тыва в общем количестве реализованных в течение планового года проектов благоустройства дворовых </w:t>
      </w:r>
      <w:r w:rsidRPr="000A1B00">
        <w:rPr>
          <w:rFonts w:ascii="Times New Roman" w:eastAsiaTheme="minorHAnsi" w:hAnsi="Times New Roman" w:cs="Times New Roman"/>
          <w:bCs/>
          <w:sz w:val="28"/>
          <w:szCs w:val="28"/>
          <w:lang w:eastAsia="en-US"/>
        </w:rPr>
        <w:t>территорий, в 2018-2019 годах составил 100</w:t>
      </w:r>
      <w:r w:rsidR="000A1B00" w:rsidRPr="000A1B00">
        <w:rPr>
          <w:rFonts w:ascii="Times New Roman" w:eastAsiaTheme="minorHAnsi" w:hAnsi="Times New Roman" w:cs="Times New Roman"/>
          <w:bCs/>
          <w:sz w:val="28"/>
          <w:szCs w:val="28"/>
          <w:lang w:eastAsia="en-US"/>
        </w:rPr>
        <w:t xml:space="preserve"> процентов</w:t>
      </w:r>
      <w:r w:rsidRPr="000A1B00">
        <w:rPr>
          <w:rFonts w:ascii="Times New Roman" w:eastAsiaTheme="minorHAnsi" w:hAnsi="Times New Roman" w:cs="Times New Roman"/>
          <w:bCs/>
          <w:sz w:val="28"/>
          <w:szCs w:val="28"/>
          <w:lang w:eastAsia="en-US"/>
        </w:rPr>
        <w:t xml:space="preserve"> из 100</w:t>
      </w:r>
      <w:r w:rsidR="000A1B00" w:rsidRPr="000A1B00">
        <w:rPr>
          <w:rFonts w:ascii="Times New Roman" w:eastAsiaTheme="minorHAnsi" w:hAnsi="Times New Roman" w:cs="Times New Roman"/>
          <w:bCs/>
          <w:sz w:val="28"/>
          <w:szCs w:val="28"/>
          <w:lang w:eastAsia="en-US"/>
        </w:rPr>
        <w:t xml:space="preserve"> процентов</w:t>
      </w:r>
      <w:r w:rsidRPr="000A1B00">
        <w:rPr>
          <w:rFonts w:ascii="Times New Roman" w:eastAsiaTheme="minorHAnsi" w:hAnsi="Times New Roman" w:cs="Times New Roman"/>
          <w:bCs/>
          <w:sz w:val="28"/>
          <w:szCs w:val="28"/>
          <w:lang w:eastAsia="en-US"/>
        </w:rPr>
        <w:t xml:space="preserve"> (с 2020 года дворовые территории не предусмотрены);</w:t>
      </w:r>
    </w:p>
    <w:p w:rsidR="00A73B6B" w:rsidRPr="000A1B00" w:rsidRDefault="00A73B6B"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sidRPr="000A1B00">
        <w:rPr>
          <w:rFonts w:ascii="Times New Roman" w:eastAsiaTheme="minorHAnsi" w:hAnsi="Times New Roman" w:cs="Times New Roman"/>
          <w:bCs/>
          <w:sz w:val="28"/>
          <w:szCs w:val="28"/>
          <w:lang w:eastAsia="en-US"/>
        </w:rPr>
        <w:t xml:space="preserve">7) количество благоустроенных дворовых территорий, достижение до 2023 года </w:t>
      </w:r>
      <w:r w:rsidR="000A1B00" w:rsidRPr="000A1B00">
        <w:rPr>
          <w:rFonts w:ascii="Times New Roman" w:eastAsiaTheme="minorHAnsi" w:hAnsi="Times New Roman" w:cs="Times New Roman"/>
          <w:bCs/>
          <w:sz w:val="28"/>
          <w:szCs w:val="28"/>
          <w:lang w:eastAsia="en-US"/>
        </w:rPr>
        <w:t>–</w:t>
      </w:r>
      <w:r w:rsidRPr="000A1B00">
        <w:rPr>
          <w:rFonts w:ascii="Times New Roman" w:eastAsiaTheme="minorHAnsi" w:hAnsi="Times New Roman" w:cs="Times New Roman"/>
          <w:bCs/>
          <w:sz w:val="28"/>
          <w:szCs w:val="28"/>
          <w:lang w:eastAsia="en-US"/>
        </w:rPr>
        <w:t xml:space="preserve"> 22 единиц</w:t>
      </w:r>
      <w:r w:rsidR="00DD3950">
        <w:rPr>
          <w:rFonts w:ascii="Times New Roman" w:eastAsiaTheme="minorHAnsi" w:hAnsi="Times New Roman" w:cs="Times New Roman"/>
          <w:bCs/>
          <w:sz w:val="28"/>
          <w:szCs w:val="28"/>
          <w:lang w:eastAsia="en-US"/>
        </w:rPr>
        <w:t>ы,</w:t>
      </w:r>
      <w:r w:rsidRPr="000A1B00">
        <w:rPr>
          <w:rFonts w:ascii="Times New Roman" w:eastAsiaTheme="minorHAnsi" w:hAnsi="Times New Roman" w:cs="Times New Roman"/>
          <w:bCs/>
          <w:sz w:val="28"/>
          <w:szCs w:val="28"/>
          <w:lang w:eastAsia="en-US"/>
        </w:rPr>
        <w:t xml:space="preserve"> или 100</w:t>
      </w:r>
      <w:r w:rsidR="000A1B00" w:rsidRPr="000A1B00">
        <w:rPr>
          <w:rFonts w:ascii="Times New Roman" w:eastAsiaTheme="minorHAnsi" w:hAnsi="Times New Roman" w:cs="Times New Roman"/>
          <w:bCs/>
          <w:sz w:val="28"/>
          <w:szCs w:val="28"/>
          <w:lang w:eastAsia="en-US"/>
        </w:rPr>
        <w:t xml:space="preserve"> процентов</w:t>
      </w:r>
      <w:r w:rsidRPr="000A1B00">
        <w:rPr>
          <w:rFonts w:ascii="Times New Roman" w:eastAsiaTheme="minorHAnsi" w:hAnsi="Times New Roman" w:cs="Times New Roman"/>
          <w:bCs/>
          <w:sz w:val="28"/>
          <w:szCs w:val="28"/>
          <w:lang w:eastAsia="en-US"/>
        </w:rPr>
        <w:t>;</w:t>
      </w:r>
    </w:p>
    <w:p w:rsidR="00A73B6B" w:rsidRPr="000A1B00" w:rsidRDefault="00A73B6B"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sidRPr="000A1B00">
        <w:rPr>
          <w:rFonts w:ascii="Times New Roman" w:eastAsiaTheme="minorHAnsi" w:hAnsi="Times New Roman" w:cs="Times New Roman"/>
          <w:bCs/>
          <w:sz w:val="28"/>
          <w:szCs w:val="28"/>
          <w:lang w:eastAsia="en-US"/>
        </w:rPr>
        <w:t>8) доля проектов благоустройства, реализованных с трудовым участием граждан, заинтересованных организаций, в 2023 году 100</w:t>
      </w:r>
      <w:r w:rsidR="000A1B00" w:rsidRPr="000A1B00">
        <w:rPr>
          <w:rFonts w:ascii="Times New Roman" w:eastAsiaTheme="minorHAnsi" w:hAnsi="Times New Roman" w:cs="Times New Roman"/>
          <w:bCs/>
          <w:sz w:val="28"/>
          <w:szCs w:val="28"/>
          <w:lang w:eastAsia="en-US"/>
        </w:rPr>
        <w:t xml:space="preserve"> процентов</w:t>
      </w:r>
      <w:r w:rsidRPr="000A1B00">
        <w:rPr>
          <w:rFonts w:ascii="Times New Roman" w:eastAsiaTheme="minorHAnsi" w:hAnsi="Times New Roman" w:cs="Times New Roman"/>
          <w:bCs/>
          <w:sz w:val="28"/>
          <w:szCs w:val="28"/>
          <w:lang w:eastAsia="en-US"/>
        </w:rPr>
        <w:t xml:space="preserve"> из 100</w:t>
      </w:r>
      <w:r w:rsidR="000A1B00" w:rsidRPr="000A1B00">
        <w:rPr>
          <w:rFonts w:ascii="Times New Roman" w:eastAsiaTheme="minorHAnsi" w:hAnsi="Times New Roman" w:cs="Times New Roman"/>
          <w:bCs/>
          <w:sz w:val="28"/>
          <w:szCs w:val="28"/>
          <w:lang w:eastAsia="en-US"/>
        </w:rPr>
        <w:t xml:space="preserve"> процентов</w:t>
      </w:r>
      <w:r w:rsidRPr="000A1B00">
        <w:rPr>
          <w:rFonts w:ascii="Times New Roman" w:eastAsiaTheme="minorHAnsi" w:hAnsi="Times New Roman" w:cs="Times New Roman"/>
          <w:bCs/>
          <w:sz w:val="28"/>
          <w:szCs w:val="28"/>
          <w:lang w:eastAsia="en-US"/>
        </w:rPr>
        <w:t>;</w:t>
      </w:r>
    </w:p>
    <w:p w:rsidR="00A73B6B" w:rsidRPr="000A1B00" w:rsidRDefault="00A73B6B"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sidRPr="000A1B00">
        <w:rPr>
          <w:rFonts w:ascii="Times New Roman" w:eastAsiaTheme="minorHAnsi" w:hAnsi="Times New Roman" w:cs="Times New Roman"/>
          <w:bCs/>
          <w:sz w:val="28"/>
          <w:szCs w:val="28"/>
          <w:lang w:eastAsia="en-US"/>
        </w:rPr>
        <w:t xml:space="preserve">9) прирост среднего индекса качества городской среды по отношению к 2019 году, по итогам 2023 года </w:t>
      </w:r>
      <w:r w:rsidR="000D656C">
        <w:rPr>
          <w:rFonts w:ascii="Times New Roman" w:eastAsiaTheme="minorHAnsi" w:hAnsi="Times New Roman" w:cs="Times New Roman"/>
          <w:bCs/>
          <w:sz w:val="28"/>
          <w:szCs w:val="28"/>
          <w:lang w:eastAsia="en-US"/>
        </w:rPr>
        <w:t>–</w:t>
      </w:r>
      <w:r w:rsidRPr="000A1B00">
        <w:rPr>
          <w:rFonts w:ascii="Times New Roman" w:eastAsiaTheme="minorHAnsi" w:hAnsi="Times New Roman" w:cs="Times New Roman"/>
          <w:bCs/>
          <w:sz w:val="28"/>
          <w:szCs w:val="28"/>
          <w:lang w:eastAsia="en-US"/>
        </w:rPr>
        <w:t xml:space="preserve"> 21</w:t>
      </w:r>
      <w:r w:rsidR="000D656C">
        <w:rPr>
          <w:rFonts w:ascii="Times New Roman" w:eastAsiaTheme="minorHAnsi" w:hAnsi="Times New Roman" w:cs="Times New Roman"/>
          <w:bCs/>
          <w:sz w:val="28"/>
          <w:szCs w:val="28"/>
          <w:lang w:eastAsia="en-US"/>
        </w:rPr>
        <w:t xml:space="preserve"> процент</w:t>
      </w:r>
      <w:r w:rsidR="00DD3950">
        <w:rPr>
          <w:rFonts w:ascii="Times New Roman" w:eastAsiaTheme="minorHAnsi" w:hAnsi="Times New Roman" w:cs="Times New Roman"/>
          <w:bCs/>
          <w:sz w:val="28"/>
          <w:szCs w:val="28"/>
          <w:lang w:eastAsia="en-US"/>
        </w:rPr>
        <w:t>,</w:t>
      </w:r>
      <w:r w:rsidRPr="000A1B00">
        <w:rPr>
          <w:rFonts w:ascii="Times New Roman" w:eastAsiaTheme="minorHAnsi" w:hAnsi="Times New Roman" w:cs="Times New Roman"/>
          <w:bCs/>
          <w:sz w:val="28"/>
          <w:szCs w:val="28"/>
          <w:lang w:eastAsia="en-US"/>
        </w:rPr>
        <w:t xml:space="preserve"> или 100</w:t>
      </w:r>
      <w:r w:rsidR="000D656C">
        <w:rPr>
          <w:rFonts w:ascii="Times New Roman" w:eastAsiaTheme="minorHAnsi" w:hAnsi="Times New Roman" w:cs="Times New Roman"/>
          <w:bCs/>
          <w:sz w:val="28"/>
          <w:szCs w:val="28"/>
          <w:lang w:eastAsia="en-US"/>
        </w:rPr>
        <w:t xml:space="preserve"> процентов</w:t>
      </w:r>
      <w:r w:rsidRPr="000A1B00">
        <w:rPr>
          <w:rFonts w:ascii="Times New Roman" w:eastAsiaTheme="minorHAnsi" w:hAnsi="Times New Roman" w:cs="Times New Roman"/>
          <w:bCs/>
          <w:sz w:val="28"/>
          <w:szCs w:val="28"/>
          <w:lang w:eastAsia="en-US"/>
        </w:rPr>
        <w:t xml:space="preserve"> (достижение сформировано 1 апреля 2024 г.);</w:t>
      </w:r>
    </w:p>
    <w:p w:rsidR="00A73B6B" w:rsidRDefault="00A73B6B"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sidRPr="000A1B00">
        <w:rPr>
          <w:rFonts w:ascii="Times New Roman" w:eastAsiaTheme="minorHAnsi" w:hAnsi="Times New Roman" w:cs="Times New Roman"/>
          <w:bCs/>
          <w:sz w:val="28"/>
          <w:szCs w:val="28"/>
          <w:lang w:eastAsia="en-US"/>
        </w:rPr>
        <w:t>10) доля граждан, принявших участие в решении вопросов развития городской среды, от общего количества граждан старше 14 лет, проживающих в муниципальных образованиях, на территориях которых реализуются проекты по созданию комфортной городской среды, по итогам 2023 года количество проголосовавших граждан во Всероссийском голосовании</w:t>
      </w:r>
      <w:r>
        <w:rPr>
          <w:rFonts w:ascii="Times New Roman" w:eastAsiaTheme="minorHAnsi" w:hAnsi="Times New Roman" w:cs="Times New Roman"/>
          <w:bCs/>
          <w:sz w:val="28"/>
          <w:szCs w:val="28"/>
          <w:lang w:eastAsia="en-US"/>
        </w:rPr>
        <w:t xml:space="preserve"> составляет 102 701 чел. что составляет 34,3</w:t>
      </w:r>
      <w:r w:rsidR="000D656C">
        <w:rPr>
          <w:rFonts w:ascii="Times New Roman" w:eastAsiaTheme="minorHAnsi" w:hAnsi="Times New Roman" w:cs="Times New Roman"/>
          <w:bCs/>
          <w:sz w:val="28"/>
          <w:szCs w:val="28"/>
          <w:lang w:eastAsia="en-US"/>
        </w:rPr>
        <w:t xml:space="preserve"> процента</w:t>
      </w:r>
      <w:r>
        <w:rPr>
          <w:rFonts w:ascii="Times New Roman" w:eastAsiaTheme="minorHAnsi" w:hAnsi="Times New Roman" w:cs="Times New Roman"/>
          <w:bCs/>
          <w:sz w:val="28"/>
          <w:szCs w:val="28"/>
          <w:lang w:eastAsia="en-US"/>
        </w:rPr>
        <w:t xml:space="preserve"> из 25</w:t>
      </w:r>
      <w:r w:rsidR="000D656C">
        <w:rPr>
          <w:rFonts w:ascii="Times New Roman" w:eastAsiaTheme="minorHAnsi" w:hAnsi="Times New Roman" w:cs="Times New Roman"/>
          <w:bCs/>
          <w:sz w:val="28"/>
          <w:szCs w:val="28"/>
          <w:lang w:eastAsia="en-US"/>
        </w:rPr>
        <w:t xml:space="preserve"> процентов</w:t>
      </w:r>
      <w:r>
        <w:rPr>
          <w:rFonts w:ascii="Times New Roman" w:eastAsiaTheme="minorHAnsi" w:hAnsi="Times New Roman" w:cs="Times New Roman"/>
          <w:bCs/>
          <w:sz w:val="28"/>
          <w:szCs w:val="28"/>
          <w:lang w:eastAsia="en-US"/>
        </w:rPr>
        <w:t>;</w:t>
      </w:r>
    </w:p>
    <w:p w:rsidR="00A73B6B" w:rsidRPr="000D656C" w:rsidRDefault="00A73B6B"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lastRenderedPageBreak/>
        <w:t xml:space="preserve">11) реализация мероприятий по благоустройству, предусмотренных государственными (муниципальными) программами современной городской среды (количество обустроенных общественных пространств), </w:t>
      </w:r>
      <w:r w:rsidRPr="000D656C">
        <w:rPr>
          <w:rFonts w:ascii="Times New Roman" w:eastAsiaTheme="minorHAnsi" w:hAnsi="Times New Roman" w:cs="Times New Roman"/>
          <w:bCs/>
          <w:sz w:val="28"/>
          <w:szCs w:val="28"/>
          <w:lang w:eastAsia="en-US"/>
        </w:rPr>
        <w:t>начиная с 2019 года – 131 единиц</w:t>
      </w:r>
      <w:r w:rsidR="00DB4143">
        <w:rPr>
          <w:rFonts w:ascii="Times New Roman" w:eastAsiaTheme="minorHAnsi" w:hAnsi="Times New Roman" w:cs="Times New Roman"/>
          <w:bCs/>
          <w:sz w:val="28"/>
          <w:szCs w:val="28"/>
          <w:lang w:eastAsia="en-US"/>
        </w:rPr>
        <w:t>а</w:t>
      </w:r>
      <w:r w:rsidRPr="000D656C">
        <w:rPr>
          <w:rFonts w:ascii="Times New Roman" w:eastAsiaTheme="minorHAnsi" w:hAnsi="Times New Roman" w:cs="Times New Roman"/>
          <w:bCs/>
          <w:sz w:val="28"/>
          <w:szCs w:val="28"/>
          <w:lang w:eastAsia="en-US"/>
        </w:rPr>
        <w:t xml:space="preserve"> или 100</w:t>
      </w:r>
      <w:r w:rsidR="000D656C" w:rsidRPr="000D656C">
        <w:rPr>
          <w:rFonts w:ascii="Times New Roman" w:eastAsiaTheme="minorHAnsi" w:hAnsi="Times New Roman" w:cs="Times New Roman"/>
          <w:bCs/>
          <w:sz w:val="28"/>
          <w:szCs w:val="28"/>
          <w:lang w:eastAsia="en-US"/>
        </w:rPr>
        <w:t xml:space="preserve"> процентов</w:t>
      </w:r>
      <w:r w:rsidRPr="000D656C">
        <w:rPr>
          <w:rFonts w:ascii="Times New Roman" w:eastAsiaTheme="minorHAnsi" w:hAnsi="Times New Roman" w:cs="Times New Roman"/>
          <w:bCs/>
          <w:sz w:val="28"/>
          <w:szCs w:val="28"/>
          <w:lang w:eastAsia="en-US"/>
        </w:rPr>
        <w:t>;</w:t>
      </w:r>
    </w:p>
    <w:p w:rsidR="00A73B6B" w:rsidRPr="000D656C" w:rsidRDefault="00A73B6B"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sidRPr="000D656C">
        <w:rPr>
          <w:rFonts w:ascii="Times New Roman" w:eastAsiaTheme="minorHAnsi" w:hAnsi="Times New Roman" w:cs="Times New Roman"/>
          <w:bCs/>
          <w:sz w:val="28"/>
          <w:szCs w:val="28"/>
          <w:lang w:eastAsia="en-US"/>
        </w:rPr>
        <w:t>12) доля городов с благоприятной средой от общего количества городов (ин</w:t>
      </w:r>
      <w:r w:rsidR="000D656C">
        <w:rPr>
          <w:rFonts w:ascii="Times New Roman" w:eastAsiaTheme="minorHAnsi" w:hAnsi="Times New Roman" w:cs="Times New Roman"/>
          <w:bCs/>
          <w:sz w:val="28"/>
          <w:szCs w:val="28"/>
          <w:lang w:eastAsia="en-US"/>
        </w:rPr>
        <w:t>декс качества городской среды –</w:t>
      </w:r>
      <w:r w:rsidRPr="000D656C">
        <w:rPr>
          <w:rFonts w:ascii="Times New Roman" w:eastAsiaTheme="minorHAnsi" w:hAnsi="Times New Roman" w:cs="Times New Roman"/>
          <w:bCs/>
          <w:sz w:val="28"/>
          <w:szCs w:val="28"/>
          <w:lang w:eastAsia="en-US"/>
        </w:rPr>
        <w:t xml:space="preserve"> выше 50 процентов) по итогам 2023 года составил 20</w:t>
      </w:r>
      <w:r w:rsidR="000D656C">
        <w:rPr>
          <w:rFonts w:ascii="Times New Roman" w:eastAsiaTheme="minorHAnsi" w:hAnsi="Times New Roman" w:cs="Times New Roman"/>
          <w:bCs/>
          <w:sz w:val="28"/>
          <w:szCs w:val="28"/>
          <w:lang w:eastAsia="en-US"/>
        </w:rPr>
        <w:t xml:space="preserve"> процентов</w:t>
      </w:r>
      <w:r w:rsidRPr="000D656C">
        <w:rPr>
          <w:rFonts w:ascii="Times New Roman" w:eastAsiaTheme="minorHAnsi" w:hAnsi="Times New Roman" w:cs="Times New Roman"/>
          <w:bCs/>
          <w:sz w:val="28"/>
          <w:szCs w:val="28"/>
          <w:lang w:eastAsia="en-US"/>
        </w:rPr>
        <w:t xml:space="preserve"> из 40</w:t>
      </w:r>
      <w:r w:rsidR="000D656C">
        <w:rPr>
          <w:rFonts w:ascii="Times New Roman" w:eastAsiaTheme="minorHAnsi" w:hAnsi="Times New Roman" w:cs="Times New Roman"/>
          <w:bCs/>
          <w:sz w:val="28"/>
          <w:szCs w:val="28"/>
          <w:lang w:eastAsia="en-US"/>
        </w:rPr>
        <w:t xml:space="preserve"> процентов</w:t>
      </w:r>
      <w:r w:rsidRPr="000D656C">
        <w:rPr>
          <w:rFonts w:ascii="Times New Roman" w:eastAsiaTheme="minorHAnsi" w:hAnsi="Times New Roman" w:cs="Times New Roman"/>
          <w:bCs/>
          <w:sz w:val="28"/>
          <w:szCs w:val="28"/>
          <w:lang w:eastAsia="en-US"/>
        </w:rPr>
        <w:t xml:space="preserve"> (достижение сформировано 1 апреля 2024 г.);</w:t>
      </w:r>
    </w:p>
    <w:p w:rsidR="00A73B6B" w:rsidRPr="000D656C" w:rsidRDefault="00A73B6B"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sidRPr="000D656C">
        <w:rPr>
          <w:rFonts w:ascii="Times New Roman" w:eastAsiaTheme="minorHAnsi" w:hAnsi="Times New Roman" w:cs="Times New Roman"/>
          <w:bCs/>
          <w:sz w:val="28"/>
          <w:szCs w:val="28"/>
          <w:lang w:eastAsia="en-US"/>
        </w:rPr>
        <w:t>13) количество городов с благоприятной городской средой по итогам 2023 года составило 1 ед. или 50</w:t>
      </w:r>
      <w:r w:rsidR="000D656C">
        <w:rPr>
          <w:rFonts w:ascii="Times New Roman" w:eastAsiaTheme="minorHAnsi" w:hAnsi="Times New Roman" w:cs="Times New Roman"/>
          <w:bCs/>
          <w:sz w:val="28"/>
          <w:szCs w:val="28"/>
          <w:lang w:eastAsia="en-US"/>
        </w:rPr>
        <w:t xml:space="preserve"> процентов</w:t>
      </w:r>
      <w:r w:rsidRPr="000D656C">
        <w:rPr>
          <w:rFonts w:ascii="Times New Roman" w:eastAsiaTheme="minorHAnsi" w:hAnsi="Times New Roman" w:cs="Times New Roman"/>
          <w:bCs/>
          <w:sz w:val="28"/>
          <w:szCs w:val="28"/>
          <w:lang w:eastAsia="en-US"/>
        </w:rPr>
        <w:t xml:space="preserve"> (достижение сформировано 1 апреля 2024 г.);</w:t>
      </w:r>
    </w:p>
    <w:p w:rsidR="00A73B6B" w:rsidRPr="000D656C" w:rsidRDefault="00A73B6B"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sidRPr="000D656C">
        <w:rPr>
          <w:rFonts w:ascii="Times New Roman" w:eastAsiaTheme="minorHAnsi" w:hAnsi="Times New Roman" w:cs="Times New Roman"/>
          <w:bCs/>
          <w:sz w:val="28"/>
          <w:szCs w:val="28"/>
          <w:lang w:eastAsia="en-US"/>
        </w:rPr>
        <w:t>14) среднее значение индекса качества городской среды по Российской Федерации, 157 баллов или 95,7</w:t>
      </w:r>
      <w:r w:rsidR="000D656C">
        <w:rPr>
          <w:rFonts w:ascii="Times New Roman" w:eastAsiaTheme="minorHAnsi" w:hAnsi="Times New Roman" w:cs="Times New Roman"/>
          <w:bCs/>
          <w:sz w:val="28"/>
          <w:szCs w:val="28"/>
          <w:lang w:eastAsia="en-US"/>
        </w:rPr>
        <w:t xml:space="preserve"> процента</w:t>
      </w:r>
      <w:r w:rsidRPr="000D656C">
        <w:rPr>
          <w:rFonts w:ascii="Times New Roman" w:eastAsiaTheme="minorHAnsi" w:hAnsi="Times New Roman" w:cs="Times New Roman"/>
          <w:bCs/>
          <w:sz w:val="28"/>
          <w:szCs w:val="28"/>
          <w:lang w:eastAsia="en-US"/>
        </w:rPr>
        <w:t xml:space="preserve"> (достижение сформировано 1 апреля 2024 г.);</w:t>
      </w:r>
    </w:p>
    <w:p w:rsidR="00A73B6B" w:rsidRPr="000D656C" w:rsidRDefault="00A73B6B" w:rsidP="000A1B00">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sidRPr="000D656C">
        <w:rPr>
          <w:rFonts w:ascii="Times New Roman" w:eastAsiaTheme="minorHAnsi" w:hAnsi="Times New Roman" w:cs="Times New Roman"/>
          <w:bCs/>
          <w:sz w:val="28"/>
          <w:szCs w:val="28"/>
          <w:lang w:eastAsia="en-US"/>
        </w:rPr>
        <w:t>15)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тыс. рублей за период реализации 2018-2023 годы Программы составил:</w:t>
      </w:r>
    </w:p>
    <w:p w:rsidR="00A73B6B" w:rsidRDefault="00A73B6B" w:rsidP="000A1B00">
      <w:pPr>
        <w:shd w:val="clear" w:color="auto" w:fill="FFFFFF" w:themeFill="background1"/>
        <w:suppressAutoHyphens w:val="0"/>
        <w:spacing w:after="0" w:line="240" w:lineRule="auto"/>
        <w:jc w:val="both"/>
        <w:outlineLvl w:val="0"/>
        <w:rPr>
          <w:rFonts w:ascii="Times New Roman" w:eastAsiaTheme="minorHAnsi" w:hAnsi="Times New Roman" w:cs="Times New Roman"/>
          <w:bCs/>
          <w:sz w:val="28"/>
          <w:szCs w:val="28"/>
          <w:lang w:eastAsia="en-US"/>
        </w:rPr>
      </w:pPr>
    </w:p>
    <w:tbl>
      <w:tblPr>
        <w:tblW w:w="9568" w:type="dxa"/>
        <w:tblInd w:w="341" w:type="dxa"/>
        <w:tblLayout w:type="fixed"/>
        <w:tblCellMar>
          <w:left w:w="57" w:type="dxa"/>
          <w:right w:w="57" w:type="dxa"/>
        </w:tblCellMar>
        <w:tblLook w:val="04A0" w:firstRow="1" w:lastRow="0" w:firstColumn="1" w:lastColumn="0" w:noHBand="0" w:noVBand="1"/>
      </w:tblPr>
      <w:tblGrid>
        <w:gridCol w:w="4111"/>
        <w:gridCol w:w="1984"/>
        <w:gridCol w:w="1701"/>
        <w:gridCol w:w="1502"/>
        <w:gridCol w:w="270"/>
      </w:tblGrid>
      <w:tr w:rsidR="00A73B6B" w:rsidRPr="00DD3950" w:rsidTr="00DD3950">
        <w:trPr>
          <w:gridAfter w:val="1"/>
          <w:wAfter w:w="270" w:type="dxa"/>
          <w:trHeight w:val="20"/>
        </w:trPr>
        <w:tc>
          <w:tcPr>
            <w:tcW w:w="4111" w:type="dxa"/>
            <w:tcBorders>
              <w:top w:val="single" w:sz="4" w:space="0" w:color="000000"/>
              <w:left w:val="single" w:sz="4" w:space="0" w:color="000000"/>
              <w:bottom w:val="single" w:sz="4" w:space="0" w:color="000000"/>
              <w:right w:val="single" w:sz="4" w:space="0" w:color="000000"/>
            </w:tcBorders>
          </w:tcPr>
          <w:p w:rsidR="00A73B6B" w:rsidRPr="00DD3950" w:rsidRDefault="00A73B6B" w:rsidP="00DD3950">
            <w:pPr>
              <w:pStyle w:val="af5"/>
              <w:widowControl w:val="0"/>
              <w:suppressAutoHyphens w:val="0"/>
              <w:jc w:val="center"/>
            </w:pPr>
            <w:r w:rsidRPr="00DD3950">
              <w:t>Объем инвестиций в основной капитал</w:t>
            </w:r>
          </w:p>
        </w:tc>
        <w:tc>
          <w:tcPr>
            <w:tcW w:w="1984" w:type="dxa"/>
            <w:tcBorders>
              <w:top w:val="single" w:sz="4" w:space="0" w:color="000000"/>
              <w:left w:val="single" w:sz="4" w:space="0" w:color="000000"/>
              <w:bottom w:val="single" w:sz="4" w:space="0" w:color="000000"/>
              <w:right w:val="single" w:sz="4" w:space="0" w:color="000000"/>
            </w:tcBorders>
          </w:tcPr>
          <w:p w:rsidR="00A73B6B" w:rsidRPr="00DD3950" w:rsidRDefault="00A73B6B" w:rsidP="00DD3950">
            <w:pPr>
              <w:pStyle w:val="af5"/>
              <w:widowControl w:val="0"/>
              <w:suppressAutoHyphens w:val="0"/>
              <w:jc w:val="center"/>
            </w:pPr>
            <w:r w:rsidRPr="00DD3950">
              <w:t>Ед.</w:t>
            </w:r>
            <w:r w:rsidR="006A7438" w:rsidRPr="00DD3950">
              <w:t xml:space="preserve"> </w:t>
            </w:r>
            <w:r w:rsidRPr="00DD3950">
              <w:t>измерения</w:t>
            </w:r>
          </w:p>
        </w:tc>
        <w:tc>
          <w:tcPr>
            <w:tcW w:w="1701" w:type="dxa"/>
            <w:tcBorders>
              <w:top w:val="single" w:sz="4" w:space="0" w:color="000000"/>
              <w:left w:val="single" w:sz="4" w:space="0" w:color="000000"/>
              <w:bottom w:val="single" w:sz="4" w:space="0" w:color="000000"/>
              <w:right w:val="single" w:sz="4" w:space="0" w:color="000000"/>
            </w:tcBorders>
          </w:tcPr>
          <w:p w:rsidR="00A73B6B" w:rsidRPr="00DD3950" w:rsidRDefault="00A73B6B" w:rsidP="00DD3950">
            <w:pPr>
              <w:pStyle w:val="af5"/>
              <w:widowControl w:val="0"/>
              <w:suppressAutoHyphens w:val="0"/>
              <w:jc w:val="center"/>
            </w:pPr>
            <w:r w:rsidRPr="00DD3950">
              <w:t>План</w:t>
            </w:r>
          </w:p>
        </w:tc>
        <w:tc>
          <w:tcPr>
            <w:tcW w:w="1502" w:type="dxa"/>
            <w:tcBorders>
              <w:top w:val="single" w:sz="4" w:space="0" w:color="000000"/>
              <w:left w:val="single" w:sz="4" w:space="0" w:color="000000"/>
              <w:bottom w:val="single" w:sz="4" w:space="0" w:color="000000"/>
              <w:right w:val="single" w:sz="4" w:space="0" w:color="000000"/>
            </w:tcBorders>
          </w:tcPr>
          <w:p w:rsidR="00A73B6B" w:rsidRPr="00DD3950" w:rsidRDefault="00A73B6B" w:rsidP="00DD3950">
            <w:pPr>
              <w:pStyle w:val="af5"/>
              <w:widowControl w:val="0"/>
              <w:suppressAutoHyphens w:val="0"/>
              <w:jc w:val="center"/>
            </w:pPr>
            <w:r w:rsidRPr="00DD3950">
              <w:t>Факт</w:t>
            </w:r>
          </w:p>
        </w:tc>
      </w:tr>
      <w:tr w:rsidR="00A73B6B" w:rsidRPr="00DD3950" w:rsidTr="00DD3950">
        <w:trPr>
          <w:gridAfter w:val="1"/>
          <w:wAfter w:w="270" w:type="dxa"/>
          <w:trHeight w:val="20"/>
        </w:trPr>
        <w:tc>
          <w:tcPr>
            <w:tcW w:w="4111" w:type="dxa"/>
            <w:tcBorders>
              <w:top w:val="single" w:sz="4" w:space="0" w:color="000000"/>
              <w:left w:val="single" w:sz="4" w:space="0" w:color="000000"/>
              <w:bottom w:val="single" w:sz="4" w:space="0" w:color="000000"/>
              <w:right w:val="single" w:sz="4" w:space="0" w:color="000000"/>
            </w:tcBorders>
          </w:tcPr>
          <w:p w:rsidR="00A73B6B" w:rsidRPr="00DD3950" w:rsidRDefault="00A73B6B" w:rsidP="00DD3950">
            <w:pPr>
              <w:pStyle w:val="af5"/>
              <w:widowControl w:val="0"/>
              <w:suppressAutoHyphens w:val="0"/>
              <w:jc w:val="both"/>
            </w:pPr>
            <w:r w:rsidRPr="00DD3950">
              <w:t>РБ</w:t>
            </w:r>
          </w:p>
        </w:tc>
        <w:tc>
          <w:tcPr>
            <w:tcW w:w="1984" w:type="dxa"/>
            <w:tcBorders>
              <w:top w:val="single" w:sz="4" w:space="0" w:color="000000"/>
              <w:left w:val="single" w:sz="4" w:space="0" w:color="000000"/>
              <w:bottom w:val="single" w:sz="4" w:space="0" w:color="000000"/>
              <w:right w:val="single" w:sz="4" w:space="0" w:color="000000"/>
            </w:tcBorders>
          </w:tcPr>
          <w:p w:rsidR="00A73B6B" w:rsidRPr="00DD3950" w:rsidRDefault="00A73B6B" w:rsidP="00DD3950">
            <w:pPr>
              <w:pStyle w:val="af5"/>
              <w:widowControl w:val="0"/>
              <w:suppressAutoHyphens w:val="0"/>
              <w:jc w:val="center"/>
            </w:pPr>
            <w:r w:rsidRPr="00DD3950">
              <w:t>тыс. рублей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A73B6B" w:rsidRPr="00DD3950" w:rsidRDefault="00A73B6B" w:rsidP="00DD3950">
            <w:pPr>
              <w:pStyle w:val="af5"/>
              <w:widowControl w:val="0"/>
              <w:suppressAutoHyphens w:val="0"/>
              <w:jc w:val="center"/>
            </w:pPr>
            <w:r w:rsidRPr="00DD3950">
              <w:t>9 999,803</w:t>
            </w:r>
          </w:p>
        </w:tc>
        <w:tc>
          <w:tcPr>
            <w:tcW w:w="1502" w:type="dxa"/>
            <w:tcBorders>
              <w:top w:val="single" w:sz="4" w:space="0" w:color="000000"/>
              <w:left w:val="single" w:sz="4" w:space="0" w:color="000000"/>
              <w:bottom w:val="single" w:sz="4" w:space="0" w:color="000000"/>
              <w:right w:val="single" w:sz="4" w:space="0" w:color="000000"/>
            </w:tcBorders>
            <w:vAlign w:val="center"/>
          </w:tcPr>
          <w:p w:rsidR="00A73B6B" w:rsidRPr="00DD3950" w:rsidRDefault="00A73B6B" w:rsidP="00DD3950">
            <w:pPr>
              <w:pStyle w:val="af5"/>
              <w:widowControl w:val="0"/>
              <w:suppressAutoHyphens w:val="0"/>
              <w:jc w:val="center"/>
            </w:pPr>
            <w:r w:rsidRPr="00DD3950">
              <w:t>9 999,803</w:t>
            </w:r>
          </w:p>
        </w:tc>
      </w:tr>
      <w:tr w:rsidR="00A73B6B" w:rsidRPr="00DD3950" w:rsidTr="00DD3950">
        <w:trPr>
          <w:gridAfter w:val="1"/>
          <w:wAfter w:w="270" w:type="dxa"/>
          <w:trHeight w:val="20"/>
        </w:trPr>
        <w:tc>
          <w:tcPr>
            <w:tcW w:w="4111" w:type="dxa"/>
            <w:tcBorders>
              <w:top w:val="single" w:sz="4" w:space="0" w:color="000000"/>
              <w:left w:val="single" w:sz="4" w:space="0" w:color="000000"/>
              <w:bottom w:val="single" w:sz="4" w:space="0" w:color="000000"/>
              <w:right w:val="single" w:sz="4" w:space="0" w:color="000000"/>
            </w:tcBorders>
          </w:tcPr>
          <w:p w:rsidR="00A73B6B" w:rsidRPr="00DD3950" w:rsidRDefault="00A73B6B" w:rsidP="00DD3950">
            <w:pPr>
              <w:pStyle w:val="af5"/>
              <w:widowControl w:val="0"/>
              <w:suppressAutoHyphens w:val="0"/>
              <w:jc w:val="both"/>
            </w:pPr>
            <w:r w:rsidRPr="00DD3950">
              <w:t>МБ</w:t>
            </w:r>
          </w:p>
        </w:tc>
        <w:tc>
          <w:tcPr>
            <w:tcW w:w="1984" w:type="dxa"/>
            <w:tcBorders>
              <w:top w:val="single" w:sz="4" w:space="0" w:color="000000"/>
              <w:left w:val="single" w:sz="4" w:space="0" w:color="000000"/>
              <w:bottom w:val="single" w:sz="4" w:space="0" w:color="000000"/>
              <w:right w:val="single" w:sz="4" w:space="0" w:color="000000"/>
            </w:tcBorders>
          </w:tcPr>
          <w:p w:rsidR="00A73B6B" w:rsidRPr="00DD3950" w:rsidRDefault="00A73B6B" w:rsidP="00DD3950">
            <w:pPr>
              <w:pStyle w:val="af5"/>
              <w:widowControl w:val="0"/>
              <w:suppressAutoHyphens w:val="0"/>
              <w:jc w:val="center"/>
            </w:pPr>
            <w:r w:rsidRPr="00DD3950">
              <w:t>тыс. рублей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A73B6B" w:rsidRPr="00DD3950" w:rsidRDefault="00A73B6B" w:rsidP="00DD3950">
            <w:pPr>
              <w:pStyle w:val="af5"/>
              <w:widowControl w:val="0"/>
              <w:suppressAutoHyphens w:val="0"/>
              <w:jc w:val="center"/>
            </w:pPr>
            <w:r w:rsidRPr="00DD3950">
              <w:t>19 581,934</w:t>
            </w:r>
          </w:p>
        </w:tc>
        <w:tc>
          <w:tcPr>
            <w:tcW w:w="1502" w:type="dxa"/>
            <w:tcBorders>
              <w:top w:val="single" w:sz="4" w:space="0" w:color="000000"/>
              <w:left w:val="single" w:sz="4" w:space="0" w:color="000000"/>
              <w:bottom w:val="single" w:sz="4" w:space="0" w:color="000000"/>
              <w:right w:val="single" w:sz="4" w:space="0" w:color="000000"/>
            </w:tcBorders>
            <w:vAlign w:val="center"/>
          </w:tcPr>
          <w:p w:rsidR="00A73B6B" w:rsidRPr="00DD3950" w:rsidRDefault="00A73B6B" w:rsidP="00DD3950">
            <w:pPr>
              <w:pStyle w:val="af5"/>
              <w:widowControl w:val="0"/>
              <w:suppressAutoHyphens w:val="0"/>
              <w:jc w:val="center"/>
            </w:pPr>
            <w:r w:rsidRPr="00DD3950">
              <w:t>19 581,934</w:t>
            </w:r>
          </w:p>
        </w:tc>
      </w:tr>
      <w:tr w:rsidR="00A73B6B" w:rsidRPr="00DD3950" w:rsidTr="00DD3950">
        <w:trPr>
          <w:gridAfter w:val="1"/>
          <w:wAfter w:w="270" w:type="dxa"/>
          <w:trHeight w:val="20"/>
        </w:trPr>
        <w:tc>
          <w:tcPr>
            <w:tcW w:w="4111" w:type="dxa"/>
            <w:tcBorders>
              <w:top w:val="single" w:sz="4" w:space="0" w:color="000000"/>
              <w:left w:val="single" w:sz="4" w:space="0" w:color="000000"/>
              <w:bottom w:val="single" w:sz="4" w:space="0" w:color="000000"/>
              <w:right w:val="single" w:sz="4" w:space="0" w:color="000000"/>
            </w:tcBorders>
          </w:tcPr>
          <w:p w:rsidR="00A73B6B" w:rsidRPr="00DD3950" w:rsidRDefault="00A73B6B" w:rsidP="00DD3950">
            <w:pPr>
              <w:pStyle w:val="af5"/>
              <w:widowControl w:val="0"/>
              <w:suppressAutoHyphens w:val="0"/>
              <w:jc w:val="both"/>
            </w:pPr>
            <w:r w:rsidRPr="00DD3950">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tcPr>
          <w:p w:rsidR="00A73B6B" w:rsidRPr="00DD3950" w:rsidRDefault="00A73B6B" w:rsidP="00DD3950">
            <w:pPr>
              <w:pStyle w:val="af5"/>
              <w:widowControl w:val="0"/>
              <w:suppressAutoHyphens w:val="0"/>
              <w:jc w:val="center"/>
            </w:pPr>
            <w:r w:rsidRPr="00DD3950">
              <w:t>тыс. рублей</w:t>
            </w:r>
          </w:p>
        </w:tc>
        <w:tc>
          <w:tcPr>
            <w:tcW w:w="1701" w:type="dxa"/>
            <w:tcBorders>
              <w:top w:val="single" w:sz="4" w:space="0" w:color="000000"/>
              <w:left w:val="single" w:sz="4" w:space="0" w:color="000000"/>
              <w:bottom w:val="single" w:sz="4" w:space="0" w:color="000000"/>
              <w:right w:val="single" w:sz="4" w:space="0" w:color="000000"/>
            </w:tcBorders>
          </w:tcPr>
          <w:p w:rsidR="00A73B6B" w:rsidRPr="00DD3950" w:rsidRDefault="00A73B6B" w:rsidP="00DD3950">
            <w:pPr>
              <w:pStyle w:val="af5"/>
              <w:widowControl w:val="0"/>
              <w:suppressAutoHyphens w:val="0"/>
              <w:jc w:val="center"/>
            </w:pPr>
            <w:r w:rsidRPr="00DD3950">
              <w:t>50 550,000</w:t>
            </w:r>
          </w:p>
        </w:tc>
        <w:tc>
          <w:tcPr>
            <w:tcW w:w="1502" w:type="dxa"/>
            <w:tcBorders>
              <w:top w:val="single" w:sz="4" w:space="0" w:color="000000"/>
              <w:left w:val="single" w:sz="4" w:space="0" w:color="000000"/>
              <w:bottom w:val="single" w:sz="4" w:space="0" w:color="000000"/>
              <w:right w:val="single" w:sz="4" w:space="0" w:color="000000"/>
            </w:tcBorders>
          </w:tcPr>
          <w:p w:rsidR="00A73B6B" w:rsidRPr="00DD3950" w:rsidRDefault="00A73B6B" w:rsidP="00DD3950">
            <w:pPr>
              <w:pStyle w:val="af5"/>
              <w:widowControl w:val="0"/>
              <w:suppressAutoHyphens w:val="0"/>
              <w:jc w:val="center"/>
            </w:pPr>
            <w:r w:rsidRPr="00DD3950">
              <w:t>50 550,000</w:t>
            </w:r>
          </w:p>
        </w:tc>
      </w:tr>
      <w:tr w:rsidR="00DD3950" w:rsidRPr="00DD3950" w:rsidTr="00980770">
        <w:trPr>
          <w:trHeight w:val="20"/>
        </w:trPr>
        <w:tc>
          <w:tcPr>
            <w:tcW w:w="4111" w:type="dxa"/>
            <w:tcBorders>
              <w:top w:val="single" w:sz="4" w:space="0" w:color="000000"/>
              <w:left w:val="single" w:sz="4" w:space="0" w:color="000000"/>
              <w:bottom w:val="single" w:sz="4" w:space="0" w:color="000000"/>
              <w:right w:val="single" w:sz="4" w:space="0" w:color="000000"/>
            </w:tcBorders>
          </w:tcPr>
          <w:p w:rsidR="00A73B6B" w:rsidRPr="00DD3950" w:rsidRDefault="00A73B6B" w:rsidP="00DD3950">
            <w:pPr>
              <w:pStyle w:val="af5"/>
              <w:widowControl w:val="0"/>
              <w:suppressAutoHyphens w:val="0"/>
              <w:jc w:val="both"/>
            </w:pPr>
            <w:r w:rsidRPr="00DD3950">
              <w:t>Итого</w:t>
            </w:r>
          </w:p>
        </w:tc>
        <w:tc>
          <w:tcPr>
            <w:tcW w:w="1984" w:type="dxa"/>
            <w:tcBorders>
              <w:top w:val="single" w:sz="4" w:space="0" w:color="000000"/>
              <w:left w:val="single" w:sz="4" w:space="0" w:color="000000"/>
              <w:bottom w:val="single" w:sz="4" w:space="0" w:color="000000"/>
              <w:right w:val="single" w:sz="4" w:space="0" w:color="000000"/>
            </w:tcBorders>
          </w:tcPr>
          <w:p w:rsidR="00A73B6B" w:rsidRPr="00DD3950" w:rsidRDefault="00A73B6B" w:rsidP="00DD3950">
            <w:pPr>
              <w:pStyle w:val="af5"/>
              <w:widowControl w:val="0"/>
              <w:suppressAutoHyphens w:val="0"/>
              <w:jc w:val="center"/>
            </w:pPr>
            <w:r w:rsidRPr="00DD3950">
              <w:t>тыс. рублей</w:t>
            </w:r>
          </w:p>
        </w:tc>
        <w:tc>
          <w:tcPr>
            <w:tcW w:w="1701" w:type="dxa"/>
            <w:tcBorders>
              <w:top w:val="single" w:sz="4" w:space="0" w:color="000000"/>
              <w:left w:val="single" w:sz="4" w:space="0" w:color="000000"/>
              <w:bottom w:val="single" w:sz="4" w:space="0" w:color="000000"/>
              <w:right w:val="single" w:sz="4" w:space="0" w:color="000000"/>
            </w:tcBorders>
          </w:tcPr>
          <w:p w:rsidR="00A73B6B" w:rsidRPr="00DD3950" w:rsidRDefault="00A73B6B" w:rsidP="00DD3950">
            <w:pPr>
              <w:pStyle w:val="af5"/>
              <w:widowControl w:val="0"/>
              <w:suppressAutoHyphens w:val="0"/>
              <w:jc w:val="center"/>
            </w:pPr>
            <w:r w:rsidRPr="00DD3950">
              <w:t>80 131,737</w:t>
            </w:r>
          </w:p>
        </w:tc>
        <w:tc>
          <w:tcPr>
            <w:tcW w:w="1502" w:type="dxa"/>
            <w:tcBorders>
              <w:top w:val="single" w:sz="4" w:space="0" w:color="000000"/>
              <w:left w:val="single" w:sz="4" w:space="0" w:color="000000"/>
              <w:bottom w:val="single" w:sz="4" w:space="0" w:color="000000"/>
              <w:right w:val="single" w:sz="4" w:space="0" w:color="auto"/>
            </w:tcBorders>
          </w:tcPr>
          <w:p w:rsidR="00A73B6B" w:rsidRPr="00DD3950" w:rsidRDefault="00A73B6B" w:rsidP="00DD3950">
            <w:pPr>
              <w:pStyle w:val="af5"/>
              <w:widowControl w:val="0"/>
              <w:suppressAutoHyphens w:val="0"/>
              <w:jc w:val="center"/>
            </w:pPr>
            <w:r w:rsidRPr="00DD3950">
              <w:t>80 131,737</w:t>
            </w:r>
          </w:p>
        </w:tc>
        <w:tc>
          <w:tcPr>
            <w:tcW w:w="270" w:type="dxa"/>
            <w:tcBorders>
              <w:left w:val="single" w:sz="4" w:space="0" w:color="auto"/>
            </w:tcBorders>
            <w:shd w:val="clear" w:color="auto" w:fill="auto"/>
            <w:vAlign w:val="bottom"/>
          </w:tcPr>
          <w:p w:rsidR="00DD3950" w:rsidRPr="00DD3950" w:rsidRDefault="00DD3950" w:rsidP="00980770">
            <w:pPr>
              <w:spacing w:after="0" w:line="240" w:lineRule="auto"/>
              <w:rPr>
                <w:rFonts w:ascii="Times New Roman" w:hAnsi="Times New Roman" w:cs="Times New Roman"/>
                <w:sz w:val="24"/>
                <w:szCs w:val="24"/>
              </w:rPr>
            </w:pPr>
            <w:r w:rsidRPr="00DD3950">
              <w:rPr>
                <w:rFonts w:ascii="Times New Roman" w:hAnsi="Times New Roman" w:cs="Times New Roman"/>
                <w:sz w:val="24"/>
                <w:szCs w:val="24"/>
              </w:rPr>
              <w:t>;</w:t>
            </w:r>
          </w:p>
        </w:tc>
      </w:tr>
    </w:tbl>
    <w:p w:rsidR="006A7438" w:rsidRPr="006A7438" w:rsidRDefault="006A7438" w:rsidP="006A7438">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p>
    <w:p w:rsidR="00A73B6B" w:rsidRPr="006A7438" w:rsidRDefault="00A73B6B" w:rsidP="006A7438">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sidRPr="006A7438">
        <w:rPr>
          <w:rFonts w:ascii="Times New Roman" w:eastAsiaTheme="minorHAnsi" w:hAnsi="Times New Roman" w:cs="Times New Roman"/>
          <w:bCs/>
          <w:sz w:val="28"/>
          <w:szCs w:val="28"/>
          <w:lang w:eastAsia="en-US"/>
        </w:rPr>
        <w:t>16) доля объема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по итогам 2023 года составил 100</w:t>
      </w:r>
      <w:r w:rsidR="006A7438">
        <w:rPr>
          <w:rFonts w:ascii="Times New Roman" w:eastAsiaTheme="minorHAnsi" w:hAnsi="Times New Roman" w:cs="Times New Roman"/>
          <w:bCs/>
          <w:sz w:val="28"/>
          <w:szCs w:val="28"/>
          <w:lang w:eastAsia="en-US"/>
        </w:rPr>
        <w:t xml:space="preserve"> процентов</w:t>
      </w:r>
      <w:r w:rsidRPr="006A7438">
        <w:rPr>
          <w:rFonts w:ascii="Times New Roman" w:eastAsiaTheme="minorHAnsi" w:hAnsi="Times New Roman" w:cs="Times New Roman"/>
          <w:bCs/>
          <w:sz w:val="28"/>
          <w:szCs w:val="28"/>
          <w:lang w:eastAsia="en-US"/>
        </w:rPr>
        <w:t>;</w:t>
      </w:r>
    </w:p>
    <w:p w:rsidR="00A73B6B" w:rsidRPr="006A7438" w:rsidRDefault="00A73B6B" w:rsidP="006A7438">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sidRPr="006A7438">
        <w:rPr>
          <w:rFonts w:ascii="Times New Roman" w:eastAsiaTheme="minorHAnsi" w:hAnsi="Times New Roman" w:cs="Times New Roman"/>
          <w:bCs/>
          <w:sz w:val="28"/>
          <w:szCs w:val="28"/>
          <w:lang w:eastAsia="en-US"/>
        </w:rPr>
        <w:t xml:space="preserve">17) реализованные проекты победителей Всероссийского конкурса лучших проектов создания комфортной городской среды в малых городах и исторических поселениях составляет 2 единицы из 1 </w:t>
      </w:r>
      <w:r w:rsidR="00980770">
        <w:rPr>
          <w:rFonts w:ascii="Times New Roman" w:eastAsiaTheme="minorHAnsi" w:hAnsi="Times New Roman" w:cs="Times New Roman"/>
          <w:bCs/>
          <w:sz w:val="28"/>
          <w:szCs w:val="28"/>
          <w:lang w:eastAsia="en-US"/>
        </w:rPr>
        <w:t xml:space="preserve">согласно плану </w:t>
      </w:r>
      <w:r w:rsidRPr="006A7438">
        <w:rPr>
          <w:rFonts w:ascii="Times New Roman" w:eastAsiaTheme="minorHAnsi" w:hAnsi="Times New Roman" w:cs="Times New Roman"/>
          <w:bCs/>
          <w:sz w:val="28"/>
          <w:szCs w:val="28"/>
          <w:lang w:eastAsia="en-US"/>
        </w:rPr>
        <w:t>(200</w:t>
      </w:r>
      <w:r w:rsidR="006A7438">
        <w:rPr>
          <w:rFonts w:ascii="Times New Roman" w:eastAsiaTheme="minorHAnsi" w:hAnsi="Times New Roman" w:cs="Times New Roman"/>
          <w:bCs/>
          <w:sz w:val="28"/>
          <w:szCs w:val="28"/>
          <w:lang w:eastAsia="en-US"/>
        </w:rPr>
        <w:t xml:space="preserve"> процентов</w:t>
      </w:r>
      <w:r w:rsidRPr="006A7438">
        <w:rPr>
          <w:rFonts w:ascii="Times New Roman" w:eastAsiaTheme="minorHAnsi" w:hAnsi="Times New Roman" w:cs="Times New Roman"/>
          <w:bCs/>
          <w:sz w:val="28"/>
          <w:szCs w:val="28"/>
          <w:lang w:eastAsia="en-US"/>
        </w:rPr>
        <w:t>).</w:t>
      </w:r>
    </w:p>
    <w:p w:rsidR="00A73B6B" w:rsidRPr="006A7438" w:rsidRDefault="00A73B6B" w:rsidP="006A7438">
      <w:pPr>
        <w:shd w:val="clear" w:color="auto" w:fill="FFFFFF" w:themeFill="background1"/>
        <w:suppressAutoHyphens w:val="0"/>
        <w:spacing w:after="0" w:line="240" w:lineRule="auto"/>
        <w:ind w:firstLine="709"/>
        <w:jc w:val="both"/>
        <w:outlineLvl w:val="0"/>
        <w:rPr>
          <w:rFonts w:ascii="Times New Roman" w:eastAsiaTheme="minorHAnsi" w:hAnsi="Times New Roman" w:cs="Times New Roman"/>
          <w:bCs/>
          <w:sz w:val="28"/>
          <w:szCs w:val="28"/>
          <w:lang w:eastAsia="en-US"/>
        </w:rPr>
      </w:pPr>
      <w:r w:rsidRPr="006A7438">
        <w:rPr>
          <w:rFonts w:ascii="Times New Roman" w:eastAsiaTheme="minorHAnsi" w:hAnsi="Times New Roman" w:cs="Times New Roman"/>
          <w:bCs/>
          <w:sz w:val="28"/>
          <w:szCs w:val="28"/>
          <w:lang w:eastAsia="en-US"/>
        </w:rPr>
        <w:t>По мероприятиям за 2023 г</w:t>
      </w:r>
      <w:r w:rsidR="00980770">
        <w:rPr>
          <w:rFonts w:ascii="Times New Roman" w:eastAsiaTheme="minorHAnsi" w:hAnsi="Times New Roman" w:cs="Times New Roman"/>
          <w:bCs/>
          <w:sz w:val="28"/>
          <w:szCs w:val="28"/>
          <w:lang w:eastAsia="en-US"/>
        </w:rPr>
        <w:t>од</w:t>
      </w:r>
      <w:r w:rsidRPr="006A7438">
        <w:rPr>
          <w:rFonts w:ascii="Times New Roman" w:eastAsiaTheme="minorHAnsi" w:hAnsi="Times New Roman" w:cs="Times New Roman"/>
          <w:bCs/>
          <w:sz w:val="28"/>
          <w:szCs w:val="28"/>
          <w:lang w:eastAsia="en-US"/>
        </w:rPr>
        <w:t xml:space="preserve"> достигнуты в полном объеме 13 показателей, из них частично достигнуты 4 показателя (согласно распоряжению Правительства Российской Федерации от 5 ноября 2019 г</w:t>
      </w:r>
      <w:r w:rsidR="006A7438">
        <w:rPr>
          <w:rFonts w:ascii="Times New Roman" w:eastAsiaTheme="minorHAnsi" w:hAnsi="Times New Roman" w:cs="Times New Roman"/>
          <w:bCs/>
          <w:sz w:val="28"/>
          <w:szCs w:val="28"/>
          <w:lang w:eastAsia="en-US"/>
        </w:rPr>
        <w:t>.</w:t>
      </w:r>
      <w:r w:rsidRPr="006A7438">
        <w:rPr>
          <w:rFonts w:ascii="Times New Roman" w:eastAsiaTheme="minorHAnsi" w:hAnsi="Times New Roman" w:cs="Times New Roman"/>
          <w:bCs/>
          <w:sz w:val="28"/>
          <w:szCs w:val="28"/>
          <w:lang w:eastAsia="en-US"/>
        </w:rPr>
        <w:t xml:space="preserve"> № 2625-р Министерством строительства и жилищно-коммунального хозяйства Российской Федерации индекс качества городской среды ежегодно формируется до 1 апреля года, следующего за годом реализации проекта):</w:t>
      </w:r>
    </w:p>
    <w:p w:rsidR="00A73B6B" w:rsidRPr="006A7438" w:rsidRDefault="00A73B6B" w:rsidP="006A7438">
      <w:pPr>
        <w:shd w:val="clear" w:color="auto" w:fill="FFFFFF" w:themeFill="background1"/>
        <w:suppressAutoHyphens w:val="0"/>
        <w:spacing w:after="0" w:line="240" w:lineRule="auto"/>
        <w:ind w:firstLine="709"/>
        <w:jc w:val="both"/>
        <w:rPr>
          <w:rFonts w:ascii="Times New Roman" w:eastAsiaTheme="minorHAnsi" w:hAnsi="Times New Roman" w:cs="Times New Roman"/>
          <w:bCs/>
          <w:sz w:val="28"/>
          <w:szCs w:val="28"/>
          <w:lang w:eastAsia="en-US"/>
        </w:rPr>
      </w:pPr>
    </w:p>
    <w:tbl>
      <w:tblPr>
        <w:tblStyle w:val="af6"/>
        <w:tblW w:w="9639" w:type="dxa"/>
        <w:tblLayout w:type="fixed"/>
        <w:tblCellMar>
          <w:left w:w="57" w:type="dxa"/>
          <w:right w:w="57" w:type="dxa"/>
        </w:tblCellMar>
        <w:tblLook w:val="04A0" w:firstRow="1" w:lastRow="0" w:firstColumn="1" w:lastColumn="0" w:noHBand="0" w:noVBand="1"/>
      </w:tblPr>
      <w:tblGrid>
        <w:gridCol w:w="1050"/>
        <w:gridCol w:w="2693"/>
        <w:gridCol w:w="2093"/>
        <w:gridCol w:w="1876"/>
        <w:gridCol w:w="1927"/>
      </w:tblGrid>
      <w:tr w:rsidR="00A73B6B" w:rsidRPr="006A7438" w:rsidTr="00106916">
        <w:trPr>
          <w:trHeight w:val="276"/>
          <w:tblHeader/>
        </w:trPr>
        <w:tc>
          <w:tcPr>
            <w:tcW w:w="1050" w:type="dxa"/>
            <w:vMerge w:val="restart"/>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t>Год</w:t>
            </w:r>
          </w:p>
        </w:tc>
        <w:tc>
          <w:tcPr>
            <w:tcW w:w="2693" w:type="dxa"/>
            <w:vMerge w:val="restart"/>
          </w:tcPr>
          <w:p w:rsidR="00106916"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t xml:space="preserve">Общее количество </w:t>
            </w:r>
          </w:p>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t>целевых индикаторов</w:t>
            </w:r>
          </w:p>
        </w:tc>
        <w:tc>
          <w:tcPr>
            <w:tcW w:w="2093" w:type="dxa"/>
            <w:vMerge w:val="restart"/>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t>Достигнуты</w:t>
            </w:r>
          </w:p>
        </w:tc>
        <w:tc>
          <w:tcPr>
            <w:tcW w:w="1876" w:type="dxa"/>
            <w:vMerge w:val="restart"/>
          </w:tcPr>
          <w:p w:rsidR="00106916"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t xml:space="preserve">Частично </w:t>
            </w:r>
          </w:p>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t>достигнуты</w:t>
            </w:r>
          </w:p>
        </w:tc>
        <w:tc>
          <w:tcPr>
            <w:tcW w:w="1927" w:type="dxa"/>
            <w:vMerge w:val="restart"/>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t>Не достигнуты</w:t>
            </w:r>
          </w:p>
        </w:tc>
      </w:tr>
      <w:tr w:rsidR="00A73B6B" w:rsidRPr="006A7438" w:rsidTr="00106916">
        <w:trPr>
          <w:trHeight w:val="276"/>
          <w:tblHeader/>
        </w:trPr>
        <w:tc>
          <w:tcPr>
            <w:tcW w:w="1050" w:type="dxa"/>
            <w:vMerge/>
          </w:tcPr>
          <w:p w:rsidR="00A73B6B" w:rsidRPr="006A7438" w:rsidRDefault="00A73B6B" w:rsidP="000A1B00">
            <w:pPr>
              <w:widowControl w:val="0"/>
              <w:shd w:val="clear" w:color="auto" w:fill="FFFFFF" w:themeFill="background1"/>
              <w:suppressAutoHyphens w:val="0"/>
              <w:spacing w:after="0" w:line="240" w:lineRule="auto"/>
              <w:rPr>
                <w:rFonts w:ascii="Times New Roman" w:eastAsia="Times New Roman" w:hAnsi="Times New Roman" w:cs="Times New Roman"/>
                <w:bCs/>
                <w:sz w:val="24"/>
                <w:szCs w:val="24"/>
              </w:rPr>
            </w:pPr>
          </w:p>
        </w:tc>
        <w:tc>
          <w:tcPr>
            <w:tcW w:w="2693" w:type="dxa"/>
            <w:vMerge/>
          </w:tcPr>
          <w:p w:rsidR="00A73B6B" w:rsidRPr="006A7438" w:rsidRDefault="00A73B6B" w:rsidP="000A1B00">
            <w:pPr>
              <w:widowControl w:val="0"/>
              <w:shd w:val="clear" w:color="auto" w:fill="FFFFFF" w:themeFill="background1"/>
              <w:suppressAutoHyphens w:val="0"/>
              <w:spacing w:after="0" w:line="240" w:lineRule="auto"/>
              <w:rPr>
                <w:rFonts w:ascii="Times New Roman" w:eastAsia="Times New Roman" w:hAnsi="Times New Roman" w:cs="Times New Roman"/>
                <w:bCs/>
                <w:sz w:val="24"/>
                <w:szCs w:val="24"/>
              </w:rPr>
            </w:pPr>
          </w:p>
        </w:tc>
        <w:tc>
          <w:tcPr>
            <w:tcW w:w="2093" w:type="dxa"/>
            <w:vMerge/>
          </w:tcPr>
          <w:p w:rsidR="00A73B6B" w:rsidRPr="006A7438" w:rsidRDefault="00A73B6B" w:rsidP="000A1B00">
            <w:pPr>
              <w:widowControl w:val="0"/>
              <w:shd w:val="clear" w:color="auto" w:fill="FFFFFF" w:themeFill="background1"/>
              <w:suppressAutoHyphens w:val="0"/>
              <w:spacing w:after="0" w:line="240" w:lineRule="auto"/>
              <w:rPr>
                <w:rFonts w:ascii="Times New Roman" w:eastAsia="Times New Roman" w:hAnsi="Times New Roman" w:cs="Times New Roman"/>
                <w:bCs/>
                <w:sz w:val="24"/>
                <w:szCs w:val="24"/>
              </w:rPr>
            </w:pPr>
          </w:p>
        </w:tc>
        <w:tc>
          <w:tcPr>
            <w:tcW w:w="1876" w:type="dxa"/>
            <w:vMerge/>
          </w:tcPr>
          <w:p w:rsidR="00A73B6B" w:rsidRPr="006A7438" w:rsidRDefault="00A73B6B" w:rsidP="000A1B00">
            <w:pPr>
              <w:widowControl w:val="0"/>
              <w:shd w:val="clear" w:color="auto" w:fill="FFFFFF" w:themeFill="background1"/>
              <w:suppressAutoHyphens w:val="0"/>
              <w:spacing w:after="0" w:line="240" w:lineRule="auto"/>
              <w:rPr>
                <w:rFonts w:ascii="Times New Roman" w:eastAsia="Times New Roman" w:hAnsi="Times New Roman" w:cs="Times New Roman"/>
                <w:bCs/>
                <w:sz w:val="24"/>
                <w:szCs w:val="24"/>
              </w:rPr>
            </w:pPr>
          </w:p>
        </w:tc>
        <w:tc>
          <w:tcPr>
            <w:tcW w:w="1927" w:type="dxa"/>
            <w:vMerge/>
          </w:tcPr>
          <w:p w:rsidR="00A73B6B" w:rsidRPr="006A7438" w:rsidRDefault="00A73B6B" w:rsidP="000A1B00">
            <w:pPr>
              <w:widowControl w:val="0"/>
              <w:shd w:val="clear" w:color="auto" w:fill="FFFFFF" w:themeFill="background1"/>
              <w:suppressAutoHyphens w:val="0"/>
              <w:spacing w:after="0" w:line="240" w:lineRule="auto"/>
              <w:rPr>
                <w:rFonts w:ascii="Times New Roman" w:eastAsia="Times New Roman" w:hAnsi="Times New Roman" w:cs="Times New Roman"/>
                <w:bCs/>
                <w:sz w:val="24"/>
                <w:szCs w:val="24"/>
              </w:rPr>
            </w:pPr>
          </w:p>
        </w:tc>
      </w:tr>
      <w:tr w:rsidR="00A73B6B" w:rsidRPr="006A7438" w:rsidTr="00106916">
        <w:trPr>
          <w:trHeight w:val="20"/>
        </w:trPr>
        <w:tc>
          <w:tcPr>
            <w:tcW w:w="1050"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t>2018</w:t>
            </w:r>
          </w:p>
        </w:tc>
        <w:tc>
          <w:tcPr>
            <w:tcW w:w="2693"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17</w:t>
            </w:r>
          </w:p>
        </w:tc>
        <w:tc>
          <w:tcPr>
            <w:tcW w:w="2093"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17</w:t>
            </w:r>
          </w:p>
        </w:tc>
        <w:tc>
          <w:tcPr>
            <w:tcW w:w="1876"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w:t>
            </w:r>
          </w:p>
        </w:tc>
        <w:tc>
          <w:tcPr>
            <w:tcW w:w="1927"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w:t>
            </w:r>
          </w:p>
        </w:tc>
      </w:tr>
      <w:tr w:rsidR="00A73B6B" w:rsidRPr="006A7438" w:rsidTr="00106916">
        <w:trPr>
          <w:trHeight w:val="20"/>
        </w:trPr>
        <w:tc>
          <w:tcPr>
            <w:tcW w:w="1050"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t>2019</w:t>
            </w:r>
          </w:p>
        </w:tc>
        <w:tc>
          <w:tcPr>
            <w:tcW w:w="2693"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17</w:t>
            </w:r>
          </w:p>
        </w:tc>
        <w:tc>
          <w:tcPr>
            <w:tcW w:w="2093"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17</w:t>
            </w:r>
          </w:p>
        </w:tc>
        <w:tc>
          <w:tcPr>
            <w:tcW w:w="1876"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w:t>
            </w:r>
          </w:p>
        </w:tc>
        <w:tc>
          <w:tcPr>
            <w:tcW w:w="1927"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w:t>
            </w:r>
          </w:p>
        </w:tc>
      </w:tr>
      <w:tr w:rsidR="00A73B6B" w:rsidRPr="006A7438" w:rsidTr="00106916">
        <w:trPr>
          <w:trHeight w:val="20"/>
        </w:trPr>
        <w:tc>
          <w:tcPr>
            <w:tcW w:w="1050"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lastRenderedPageBreak/>
              <w:t>2020</w:t>
            </w:r>
          </w:p>
        </w:tc>
        <w:tc>
          <w:tcPr>
            <w:tcW w:w="2693"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17</w:t>
            </w:r>
          </w:p>
        </w:tc>
        <w:tc>
          <w:tcPr>
            <w:tcW w:w="2093"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17</w:t>
            </w:r>
          </w:p>
        </w:tc>
        <w:tc>
          <w:tcPr>
            <w:tcW w:w="1876"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w:t>
            </w:r>
          </w:p>
        </w:tc>
        <w:tc>
          <w:tcPr>
            <w:tcW w:w="1927"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w:t>
            </w:r>
          </w:p>
        </w:tc>
      </w:tr>
      <w:tr w:rsidR="00A73B6B" w:rsidRPr="006A7438" w:rsidTr="00106916">
        <w:trPr>
          <w:trHeight w:val="20"/>
        </w:trPr>
        <w:tc>
          <w:tcPr>
            <w:tcW w:w="1050"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t>2021</w:t>
            </w:r>
          </w:p>
        </w:tc>
        <w:tc>
          <w:tcPr>
            <w:tcW w:w="2693"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17</w:t>
            </w:r>
          </w:p>
        </w:tc>
        <w:tc>
          <w:tcPr>
            <w:tcW w:w="2093"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17</w:t>
            </w:r>
          </w:p>
        </w:tc>
        <w:tc>
          <w:tcPr>
            <w:tcW w:w="1876"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w:t>
            </w:r>
          </w:p>
        </w:tc>
        <w:tc>
          <w:tcPr>
            <w:tcW w:w="1927"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w:t>
            </w:r>
          </w:p>
        </w:tc>
      </w:tr>
      <w:tr w:rsidR="00A73B6B" w:rsidRPr="006A7438" w:rsidTr="00106916">
        <w:trPr>
          <w:trHeight w:val="20"/>
        </w:trPr>
        <w:tc>
          <w:tcPr>
            <w:tcW w:w="1050"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t>2022</w:t>
            </w:r>
          </w:p>
        </w:tc>
        <w:tc>
          <w:tcPr>
            <w:tcW w:w="2693"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17</w:t>
            </w:r>
          </w:p>
        </w:tc>
        <w:tc>
          <w:tcPr>
            <w:tcW w:w="2093"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17</w:t>
            </w:r>
          </w:p>
        </w:tc>
        <w:tc>
          <w:tcPr>
            <w:tcW w:w="1876"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w:t>
            </w:r>
          </w:p>
        </w:tc>
        <w:tc>
          <w:tcPr>
            <w:tcW w:w="1927"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sz w:val="24"/>
                <w:szCs w:val="24"/>
              </w:rPr>
            </w:pPr>
            <w:r w:rsidRPr="006A7438">
              <w:rPr>
                <w:rFonts w:ascii="Times New Roman" w:eastAsia="Times New Roman" w:hAnsi="Times New Roman" w:cs="Times New Roman"/>
                <w:sz w:val="24"/>
                <w:szCs w:val="24"/>
              </w:rPr>
              <w:t>-</w:t>
            </w:r>
          </w:p>
        </w:tc>
      </w:tr>
      <w:tr w:rsidR="00A73B6B" w:rsidRPr="006A7438" w:rsidTr="00106916">
        <w:trPr>
          <w:trHeight w:val="20"/>
        </w:trPr>
        <w:tc>
          <w:tcPr>
            <w:tcW w:w="1050"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t>2023</w:t>
            </w:r>
          </w:p>
        </w:tc>
        <w:tc>
          <w:tcPr>
            <w:tcW w:w="2693"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t>17</w:t>
            </w:r>
          </w:p>
        </w:tc>
        <w:tc>
          <w:tcPr>
            <w:tcW w:w="2093"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t>17</w:t>
            </w:r>
          </w:p>
        </w:tc>
        <w:tc>
          <w:tcPr>
            <w:tcW w:w="1876"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t>13</w:t>
            </w:r>
          </w:p>
        </w:tc>
        <w:tc>
          <w:tcPr>
            <w:tcW w:w="1927" w:type="dxa"/>
          </w:tcPr>
          <w:p w:rsidR="00A73B6B" w:rsidRPr="006A7438" w:rsidRDefault="00A73B6B" w:rsidP="000A1B00">
            <w:pPr>
              <w:widowControl w:val="0"/>
              <w:shd w:val="clear" w:color="auto" w:fill="FFFFFF" w:themeFill="background1"/>
              <w:suppressAutoHyphens w:val="0"/>
              <w:spacing w:after="0" w:line="240" w:lineRule="auto"/>
              <w:jc w:val="center"/>
              <w:rPr>
                <w:rFonts w:ascii="Times New Roman" w:eastAsia="Times New Roman" w:hAnsi="Times New Roman" w:cs="Times New Roman"/>
                <w:bCs/>
                <w:sz w:val="24"/>
                <w:szCs w:val="24"/>
              </w:rPr>
            </w:pPr>
            <w:r w:rsidRPr="006A7438">
              <w:rPr>
                <w:rFonts w:ascii="Times New Roman" w:eastAsia="Times New Roman" w:hAnsi="Times New Roman" w:cs="Times New Roman"/>
                <w:bCs/>
                <w:sz w:val="24"/>
                <w:szCs w:val="24"/>
              </w:rPr>
              <w:t>4</w:t>
            </w:r>
          </w:p>
        </w:tc>
      </w:tr>
    </w:tbl>
    <w:p w:rsidR="00A73B6B" w:rsidRPr="00106916" w:rsidRDefault="00A73B6B" w:rsidP="00106916">
      <w:pPr>
        <w:shd w:val="clear" w:color="auto" w:fill="FFFFFF" w:themeFill="background1"/>
        <w:suppressAutoHyphens w:val="0"/>
        <w:spacing w:after="0" w:line="240" w:lineRule="auto"/>
        <w:ind w:firstLine="709"/>
        <w:jc w:val="both"/>
        <w:rPr>
          <w:rFonts w:ascii="Times New Roman" w:eastAsiaTheme="minorHAnsi" w:hAnsi="Times New Roman" w:cs="Times New Roman"/>
          <w:bCs/>
          <w:i/>
          <w:sz w:val="28"/>
          <w:szCs w:val="28"/>
          <w:lang w:eastAsia="en-US"/>
        </w:rPr>
      </w:pPr>
    </w:p>
    <w:p w:rsidR="00A73B6B" w:rsidRDefault="00A73B6B" w:rsidP="00106916">
      <w:pPr>
        <w:shd w:val="clear" w:color="auto" w:fill="FFFFFF" w:themeFill="background1"/>
        <w:suppressAutoHyphens w:val="0"/>
        <w:spacing w:after="0" w:line="240" w:lineRule="auto"/>
        <w:ind w:firstLine="709"/>
        <w:jc w:val="both"/>
        <w:rPr>
          <w:rFonts w:ascii="Times New Roman" w:eastAsiaTheme="minorHAnsi" w:hAnsi="Times New Roman" w:cs="Times New Roman"/>
          <w:bCs/>
          <w:sz w:val="28"/>
          <w:szCs w:val="28"/>
          <w:lang w:eastAsia="en-US"/>
        </w:rPr>
      </w:pPr>
      <w:r w:rsidRPr="00106916">
        <w:rPr>
          <w:rFonts w:ascii="Times New Roman" w:eastAsiaTheme="minorHAnsi" w:hAnsi="Times New Roman" w:cs="Times New Roman"/>
          <w:bCs/>
          <w:sz w:val="28"/>
          <w:szCs w:val="28"/>
          <w:lang w:eastAsia="en-US"/>
        </w:rPr>
        <w:t xml:space="preserve">Реализация </w:t>
      </w:r>
      <w:r w:rsidR="00980770">
        <w:rPr>
          <w:rFonts w:ascii="Times New Roman" w:eastAsiaTheme="minorHAnsi" w:hAnsi="Times New Roman" w:cs="Times New Roman"/>
          <w:bCs/>
          <w:sz w:val="28"/>
          <w:szCs w:val="28"/>
          <w:lang w:eastAsia="en-US"/>
        </w:rPr>
        <w:t>П</w:t>
      </w:r>
      <w:r w:rsidRPr="00106916">
        <w:rPr>
          <w:rFonts w:ascii="Times New Roman" w:eastAsiaTheme="minorHAnsi" w:hAnsi="Times New Roman" w:cs="Times New Roman"/>
          <w:bCs/>
          <w:sz w:val="28"/>
          <w:szCs w:val="28"/>
          <w:lang w:eastAsia="en-US"/>
        </w:rPr>
        <w:t>рограммы способствовал</w:t>
      </w:r>
      <w:r w:rsidR="00C66BFC">
        <w:rPr>
          <w:rFonts w:ascii="Times New Roman" w:eastAsiaTheme="minorHAnsi" w:hAnsi="Times New Roman" w:cs="Times New Roman"/>
          <w:bCs/>
          <w:sz w:val="28"/>
          <w:szCs w:val="28"/>
          <w:lang w:eastAsia="en-US"/>
        </w:rPr>
        <w:t>а</w:t>
      </w:r>
      <w:r w:rsidRPr="00106916">
        <w:rPr>
          <w:rFonts w:ascii="Times New Roman" w:eastAsiaTheme="minorHAnsi" w:hAnsi="Times New Roman" w:cs="Times New Roman"/>
          <w:bCs/>
          <w:sz w:val="28"/>
          <w:szCs w:val="28"/>
          <w:lang w:eastAsia="en-US"/>
        </w:rPr>
        <w:t xml:space="preserve"> повышению качества городской среды и жизнедеятельности населения республики, развитию различных видов деятельности экономики и социальной сферы. </w:t>
      </w:r>
      <w:r w:rsidR="00C66BFC">
        <w:rPr>
          <w:rFonts w:ascii="Times New Roman" w:eastAsiaTheme="minorHAnsi" w:hAnsi="Times New Roman" w:cs="Times New Roman"/>
          <w:bCs/>
          <w:sz w:val="28"/>
          <w:szCs w:val="28"/>
          <w:lang w:eastAsia="en-US"/>
        </w:rPr>
        <w:t>П</w:t>
      </w:r>
      <w:r w:rsidRPr="00106916">
        <w:rPr>
          <w:rFonts w:ascii="Times New Roman" w:eastAsiaTheme="minorHAnsi" w:hAnsi="Times New Roman" w:cs="Times New Roman"/>
          <w:bCs/>
          <w:sz w:val="28"/>
          <w:szCs w:val="28"/>
          <w:lang w:eastAsia="en-US"/>
        </w:rPr>
        <w:t>рограмма стимулирует рост инвестиций, создание рабочих мест, а также улучшение инфраструктуры. В результате улучшаются показатели социально-экономического развития региона и увеличивается доход бюджета.</w:t>
      </w:r>
    </w:p>
    <w:p w:rsidR="00106916" w:rsidRPr="00106916" w:rsidRDefault="00106916" w:rsidP="00106916">
      <w:pPr>
        <w:shd w:val="clear" w:color="auto" w:fill="FFFFFF" w:themeFill="background1"/>
        <w:suppressAutoHyphens w:val="0"/>
        <w:spacing w:after="0" w:line="240" w:lineRule="auto"/>
        <w:jc w:val="center"/>
        <w:rPr>
          <w:rFonts w:ascii="Times New Roman" w:eastAsiaTheme="minorHAnsi" w:hAnsi="Times New Roman" w:cs="Times New Roman"/>
          <w:bCs/>
          <w:i/>
          <w:sz w:val="28"/>
          <w:szCs w:val="28"/>
          <w:lang w:eastAsia="en-US"/>
        </w:rPr>
      </w:pPr>
    </w:p>
    <w:p w:rsidR="00A73B6B" w:rsidRDefault="00A73B6B" w:rsidP="00106916">
      <w:pPr>
        <w:shd w:val="clear" w:color="auto" w:fill="FFFFFF" w:themeFill="background1"/>
        <w:suppressAutoHyphens w:val="0"/>
        <w:spacing w:after="0" w:line="240" w:lineRule="auto"/>
        <w:jc w:val="center"/>
        <w:outlineLvl w:val="0"/>
        <w:rPr>
          <w:rFonts w:ascii="Times New Roman" w:eastAsiaTheme="minorHAnsi" w:hAnsi="Times New Roman" w:cs="Times New Roman"/>
          <w:bCs/>
          <w:sz w:val="28"/>
          <w:szCs w:val="28"/>
          <w:lang w:eastAsia="en-US"/>
        </w:rPr>
      </w:pPr>
      <w:r w:rsidRPr="00106916">
        <w:rPr>
          <w:rFonts w:ascii="Times New Roman" w:eastAsiaTheme="minorHAnsi" w:hAnsi="Times New Roman" w:cs="Times New Roman"/>
          <w:bCs/>
          <w:sz w:val="28"/>
          <w:szCs w:val="28"/>
          <w:lang w:eastAsia="en-US"/>
        </w:rPr>
        <w:t>5. Итоги</w:t>
      </w:r>
    </w:p>
    <w:p w:rsidR="00106916" w:rsidRPr="00106916" w:rsidRDefault="00106916" w:rsidP="00106916">
      <w:pPr>
        <w:shd w:val="clear" w:color="auto" w:fill="FFFFFF" w:themeFill="background1"/>
        <w:suppressAutoHyphens w:val="0"/>
        <w:spacing w:after="0" w:line="240" w:lineRule="auto"/>
        <w:jc w:val="center"/>
        <w:outlineLvl w:val="0"/>
        <w:rPr>
          <w:rFonts w:ascii="Times New Roman" w:eastAsiaTheme="minorHAnsi" w:hAnsi="Times New Roman" w:cs="Times New Roman"/>
          <w:bCs/>
          <w:sz w:val="28"/>
          <w:szCs w:val="28"/>
          <w:lang w:eastAsia="en-US"/>
        </w:rPr>
      </w:pPr>
    </w:p>
    <w:p w:rsidR="00F5399E" w:rsidRDefault="00A73B6B" w:rsidP="00C66BFC">
      <w:pPr>
        <w:shd w:val="clear" w:color="auto" w:fill="FFFFFF" w:themeFill="background1"/>
        <w:suppressAutoHyphens w:val="0"/>
        <w:spacing w:after="0" w:line="240" w:lineRule="auto"/>
        <w:ind w:firstLine="709"/>
        <w:jc w:val="both"/>
        <w:rPr>
          <w:rFonts w:ascii="Times New Roman" w:hAnsi="Times New Roman" w:cs="Times New Roman"/>
          <w:sz w:val="28"/>
          <w:szCs w:val="28"/>
        </w:rPr>
      </w:pPr>
      <w:r w:rsidRPr="00106916">
        <w:rPr>
          <w:rFonts w:ascii="Times New Roman" w:hAnsi="Times New Roman" w:cs="Times New Roman"/>
          <w:sz w:val="28"/>
          <w:szCs w:val="28"/>
        </w:rPr>
        <w:t>За период реализации Программы общий объем привлеченных средств из федерального б</w:t>
      </w:r>
      <w:r w:rsidR="00C66BFC">
        <w:rPr>
          <w:rFonts w:ascii="Times New Roman" w:hAnsi="Times New Roman" w:cs="Times New Roman"/>
          <w:sz w:val="28"/>
          <w:szCs w:val="28"/>
        </w:rPr>
        <w:t>юджета за 2018-2023 г. составил</w:t>
      </w:r>
      <w:r w:rsidRPr="00106916">
        <w:rPr>
          <w:rFonts w:ascii="Times New Roman" w:hAnsi="Times New Roman" w:cs="Times New Roman"/>
          <w:sz w:val="28"/>
          <w:szCs w:val="28"/>
        </w:rPr>
        <w:t xml:space="preserve"> 648</w:t>
      </w:r>
      <w:r w:rsidRPr="00106916">
        <w:rPr>
          <w:rFonts w:ascii="Times New Roman" w:eastAsia="Times New Roman" w:hAnsi="Times New Roman" w:cs="Times New Roman"/>
          <w:sz w:val="28"/>
          <w:szCs w:val="28"/>
        </w:rPr>
        <w:t> 303,500</w:t>
      </w:r>
      <w:r w:rsidRPr="00106916">
        <w:rPr>
          <w:rFonts w:ascii="Times New Roman" w:hAnsi="Times New Roman" w:cs="Times New Roman"/>
          <w:sz w:val="28"/>
          <w:szCs w:val="28"/>
        </w:rPr>
        <w:t xml:space="preserve"> тыс. рублей</w:t>
      </w:r>
      <w:r w:rsidRPr="00106916">
        <w:rPr>
          <w:rFonts w:ascii="Times New Roman" w:hAnsi="Times New Roman" w:cs="Times New Roman"/>
          <w:i/>
          <w:sz w:val="28"/>
          <w:szCs w:val="28"/>
        </w:rPr>
        <w:t xml:space="preserve">, </w:t>
      </w:r>
      <w:r w:rsidRPr="00106916">
        <w:rPr>
          <w:rFonts w:ascii="Times New Roman" w:hAnsi="Times New Roman" w:cs="Times New Roman"/>
          <w:sz w:val="28"/>
          <w:szCs w:val="28"/>
        </w:rPr>
        <w:t xml:space="preserve">из резервного фонда Правительства Российской Федерации </w:t>
      </w:r>
      <w:r w:rsidR="00F5399E">
        <w:rPr>
          <w:rFonts w:ascii="Times New Roman" w:hAnsi="Times New Roman" w:cs="Times New Roman"/>
          <w:sz w:val="28"/>
          <w:szCs w:val="28"/>
        </w:rPr>
        <w:t>–</w:t>
      </w:r>
      <w:r w:rsidRPr="00106916">
        <w:rPr>
          <w:rFonts w:ascii="Times New Roman" w:hAnsi="Times New Roman" w:cs="Times New Roman"/>
          <w:sz w:val="28"/>
          <w:szCs w:val="28"/>
        </w:rPr>
        <w:t xml:space="preserve"> 25 000,000 тыс. рублей,</w:t>
      </w:r>
      <w:r w:rsidRPr="00106916">
        <w:rPr>
          <w:rFonts w:ascii="Times New Roman" w:hAnsi="Times New Roman" w:cs="Times New Roman"/>
          <w:i/>
          <w:sz w:val="28"/>
          <w:szCs w:val="28"/>
        </w:rPr>
        <w:t xml:space="preserve"> </w:t>
      </w:r>
      <w:r w:rsidRPr="00106916">
        <w:rPr>
          <w:rFonts w:ascii="Times New Roman" w:hAnsi="Times New Roman" w:cs="Times New Roman"/>
          <w:sz w:val="28"/>
          <w:szCs w:val="28"/>
        </w:rPr>
        <w:t xml:space="preserve">из республиканского бюджета </w:t>
      </w:r>
      <w:r w:rsidR="00F5399E">
        <w:rPr>
          <w:rFonts w:ascii="Times New Roman" w:hAnsi="Times New Roman" w:cs="Times New Roman"/>
          <w:sz w:val="28"/>
          <w:szCs w:val="28"/>
        </w:rPr>
        <w:t>–</w:t>
      </w:r>
      <w:r w:rsidRPr="00106916">
        <w:rPr>
          <w:rFonts w:ascii="Times New Roman" w:hAnsi="Times New Roman" w:cs="Times New Roman"/>
          <w:sz w:val="28"/>
          <w:szCs w:val="28"/>
        </w:rPr>
        <w:t xml:space="preserve"> </w:t>
      </w:r>
      <w:r w:rsidRPr="00106916">
        <w:rPr>
          <w:rFonts w:ascii="Times New Roman" w:eastAsia="Times New Roman" w:hAnsi="Times New Roman" w:cs="Times New Roman"/>
          <w:sz w:val="28"/>
          <w:szCs w:val="28"/>
        </w:rPr>
        <w:t>9 999,803 тыс. рублей</w:t>
      </w:r>
      <w:r w:rsidRPr="00106916">
        <w:rPr>
          <w:rFonts w:ascii="Times New Roman" w:hAnsi="Times New Roman" w:cs="Times New Roman"/>
          <w:sz w:val="28"/>
          <w:szCs w:val="28"/>
        </w:rPr>
        <w:t xml:space="preserve">, из местного бюджета </w:t>
      </w:r>
      <w:r w:rsidR="00F5399E">
        <w:rPr>
          <w:rFonts w:ascii="Times New Roman" w:hAnsi="Times New Roman" w:cs="Times New Roman"/>
          <w:sz w:val="28"/>
          <w:szCs w:val="28"/>
        </w:rPr>
        <w:t>–</w:t>
      </w:r>
      <w:r w:rsidRPr="00106916">
        <w:rPr>
          <w:rFonts w:ascii="Times New Roman" w:hAnsi="Times New Roman" w:cs="Times New Roman"/>
          <w:sz w:val="28"/>
          <w:szCs w:val="28"/>
        </w:rPr>
        <w:t xml:space="preserve"> 19 581,934 тыс. р</w:t>
      </w:r>
      <w:r w:rsidR="00F5399E">
        <w:rPr>
          <w:rFonts w:ascii="Times New Roman" w:hAnsi="Times New Roman" w:cs="Times New Roman"/>
          <w:sz w:val="28"/>
          <w:szCs w:val="28"/>
        </w:rPr>
        <w:t>ублей, внебюджетных источников –</w:t>
      </w:r>
      <w:r w:rsidRPr="00106916">
        <w:rPr>
          <w:rFonts w:ascii="Times New Roman" w:hAnsi="Times New Roman" w:cs="Times New Roman"/>
          <w:sz w:val="28"/>
          <w:szCs w:val="28"/>
        </w:rPr>
        <w:t xml:space="preserve"> 5</w:t>
      </w:r>
      <w:r w:rsidRPr="00106916">
        <w:rPr>
          <w:rFonts w:ascii="Times New Roman" w:eastAsia="Times New Roman" w:hAnsi="Times New Roman" w:cs="Times New Roman"/>
          <w:sz w:val="28"/>
          <w:szCs w:val="28"/>
        </w:rPr>
        <w:t>0 550,000 тыс. рублей</w:t>
      </w:r>
      <w:r w:rsidRPr="00106916">
        <w:rPr>
          <w:rFonts w:ascii="Times New Roman" w:hAnsi="Times New Roman" w:cs="Times New Roman"/>
          <w:sz w:val="28"/>
          <w:szCs w:val="28"/>
        </w:rPr>
        <w:t>, количество созданных рабочих мест по итогам реализаций проектов победителей всероссийского конкурса лучших проектов создания комфортной городской среды в малых городах – 12 рабочих</w:t>
      </w:r>
      <w:r w:rsidR="00C66BFC">
        <w:rPr>
          <w:rFonts w:ascii="Times New Roman" w:hAnsi="Times New Roman" w:cs="Times New Roman"/>
          <w:sz w:val="28"/>
          <w:szCs w:val="28"/>
        </w:rPr>
        <w:t xml:space="preserve"> мест. Программа </w:t>
      </w:r>
      <w:r w:rsidRPr="00106916">
        <w:rPr>
          <w:rFonts w:ascii="Times New Roman" w:hAnsi="Times New Roman" w:cs="Times New Roman"/>
          <w:sz w:val="28"/>
          <w:szCs w:val="28"/>
        </w:rPr>
        <w:t>выполнена в полном объеме.</w:t>
      </w:r>
    </w:p>
    <w:p w:rsidR="00961808" w:rsidRPr="00C70346" w:rsidRDefault="00961808" w:rsidP="00E96E57">
      <w:pPr>
        <w:shd w:val="clear" w:color="auto" w:fill="FFFFFF" w:themeFill="background1"/>
        <w:suppressAutoHyphens w:val="0"/>
        <w:spacing w:after="0" w:line="240" w:lineRule="auto"/>
        <w:jc w:val="center"/>
        <w:rPr>
          <w:rFonts w:ascii="Times New Roman" w:hAnsi="Times New Roman" w:cs="Times New Roman"/>
          <w:color w:val="000000" w:themeColor="text1"/>
        </w:rPr>
      </w:pPr>
    </w:p>
    <w:sectPr w:rsidR="00961808" w:rsidRPr="00C70346" w:rsidSect="005B4E5F">
      <w:pgSz w:w="11906" w:h="16838"/>
      <w:pgMar w:top="1134" w:right="567" w:bottom="1134" w:left="1701" w:header="680" w:footer="680"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184" w:rsidRDefault="00275184" w:rsidP="0069546A">
      <w:pPr>
        <w:spacing w:after="0" w:line="240" w:lineRule="auto"/>
      </w:pPr>
      <w:r>
        <w:separator/>
      </w:r>
    </w:p>
  </w:endnote>
  <w:endnote w:type="continuationSeparator" w:id="0">
    <w:p w:rsidR="00275184" w:rsidRDefault="00275184" w:rsidP="0069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184" w:rsidRDefault="00275184" w:rsidP="0069546A">
      <w:pPr>
        <w:spacing w:after="0" w:line="240" w:lineRule="auto"/>
      </w:pPr>
      <w:r>
        <w:separator/>
      </w:r>
    </w:p>
  </w:footnote>
  <w:footnote w:type="continuationSeparator" w:id="0">
    <w:p w:rsidR="00275184" w:rsidRDefault="00275184" w:rsidP="00695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074310"/>
      <w:docPartObj>
        <w:docPartGallery w:val="Page Numbers (Top of Page)"/>
        <w:docPartUnique/>
      </w:docPartObj>
    </w:sdtPr>
    <w:sdtEndPr>
      <w:rPr>
        <w:rFonts w:ascii="Times New Roman" w:hAnsi="Times New Roman" w:cs="Times New Roman"/>
        <w:sz w:val="24"/>
      </w:rPr>
    </w:sdtEndPr>
    <w:sdtContent>
      <w:p w:rsidR="001D15ED" w:rsidRPr="0069546A" w:rsidRDefault="001D15ED" w:rsidP="0069546A">
        <w:pPr>
          <w:pStyle w:val="af2"/>
          <w:spacing w:after="0" w:line="240" w:lineRule="auto"/>
          <w:jc w:val="right"/>
          <w:rPr>
            <w:rFonts w:ascii="Times New Roman" w:hAnsi="Times New Roman" w:cs="Times New Roman"/>
            <w:sz w:val="24"/>
          </w:rPr>
        </w:pPr>
        <w:r w:rsidRPr="0069546A">
          <w:rPr>
            <w:rFonts w:ascii="Times New Roman" w:hAnsi="Times New Roman" w:cs="Times New Roman"/>
            <w:sz w:val="24"/>
          </w:rPr>
          <w:fldChar w:fldCharType="begin"/>
        </w:r>
        <w:r w:rsidRPr="0069546A">
          <w:rPr>
            <w:rFonts w:ascii="Times New Roman" w:hAnsi="Times New Roman" w:cs="Times New Roman"/>
            <w:sz w:val="24"/>
          </w:rPr>
          <w:instrText>PAGE   \* MERGEFORMAT</w:instrText>
        </w:r>
        <w:r w:rsidRPr="0069546A">
          <w:rPr>
            <w:rFonts w:ascii="Times New Roman" w:hAnsi="Times New Roman" w:cs="Times New Roman"/>
            <w:sz w:val="24"/>
          </w:rPr>
          <w:fldChar w:fldCharType="separate"/>
        </w:r>
        <w:r w:rsidR="00EB4AC4">
          <w:rPr>
            <w:rFonts w:ascii="Times New Roman" w:hAnsi="Times New Roman" w:cs="Times New Roman"/>
            <w:noProof/>
            <w:sz w:val="24"/>
          </w:rPr>
          <w:t>9</w:t>
        </w:r>
        <w:r w:rsidRPr="0069546A">
          <w:rPr>
            <w:rFonts w:ascii="Times New Roman" w:hAnsi="Times New Roman" w:cs="Times New Roman"/>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94a08b9e-90b7-44f3-a610-51fdfecdda86"/>
  </w:docVars>
  <w:rsids>
    <w:rsidRoot w:val="00961808"/>
    <w:rsid w:val="00097452"/>
    <w:rsid w:val="000A1B00"/>
    <w:rsid w:val="000D656C"/>
    <w:rsid w:val="00106916"/>
    <w:rsid w:val="00180532"/>
    <w:rsid w:val="001C55CE"/>
    <w:rsid w:val="001D15ED"/>
    <w:rsid w:val="001D447F"/>
    <w:rsid w:val="00275184"/>
    <w:rsid w:val="002845C8"/>
    <w:rsid w:val="003B297A"/>
    <w:rsid w:val="003B3D65"/>
    <w:rsid w:val="004E1A27"/>
    <w:rsid w:val="005067E8"/>
    <w:rsid w:val="00532750"/>
    <w:rsid w:val="005B4E5F"/>
    <w:rsid w:val="006269A6"/>
    <w:rsid w:val="006325BA"/>
    <w:rsid w:val="006439B0"/>
    <w:rsid w:val="00644FD7"/>
    <w:rsid w:val="0069546A"/>
    <w:rsid w:val="006A7438"/>
    <w:rsid w:val="0072390B"/>
    <w:rsid w:val="00760C08"/>
    <w:rsid w:val="007930D6"/>
    <w:rsid w:val="008B3E5B"/>
    <w:rsid w:val="008B5F56"/>
    <w:rsid w:val="008D0772"/>
    <w:rsid w:val="00961808"/>
    <w:rsid w:val="00980770"/>
    <w:rsid w:val="009A5802"/>
    <w:rsid w:val="00A53765"/>
    <w:rsid w:val="00A72B9C"/>
    <w:rsid w:val="00A73B6B"/>
    <w:rsid w:val="00A959A0"/>
    <w:rsid w:val="00AC1731"/>
    <w:rsid w:val="00B13172"/>
    <w:rsid w:val="00B76620"/>
    <w:rsid w:val="00B83904"/>
    <w:rsid w:val="00BA18B0"/>
    <w:rsid w:val="00C66BFC"/>
    <w:rsid w:val="00C70346"/>
    <w:rsid w:val="00D43D10"/>
    <w:rsid w:val="00DB4143"/>
    <w:rsid w:val="00DD3950"/>
    <w:rsid w:val="00DD470D"/>
    <w:rsid w:val="00E96E57"/>
    <w:rsid w:val="00EA73CD"/>
    <w:rsid w:val="00EB4AC4"/>
    <w:rsid w:val="00F50537"/>
    <w:rsid w:val="00F5399E"/>
    <w:rsid w:val="00F61EA4"/>
    <w:rsid w:val="00F943ED"/>
    <w:rsid w:val="00F96E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BC04B5-D52B-4E37-A631-C619540F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F91"/>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0CB1"/>
    <w:rPr>
      <w:color w:val="0000FF" w:themeColor="hyperlink"/>
      <w:u w:val="single"/>
    </w:rPr>
  </w:style>
  <w:style w:type="character" w:customStyle="1" w:styleId="a4">
    <w:name w:val="Символ сноски"/>
    <w:qFormat/>
    <w:rPr>
      <w:vertAlign w:val="superscript"/>
    </w:rPr>
  </w:style>
  <w:style w:type="character" w:styleId="a5">
    <w:name w:val="footnote reference"/>
    <w:rPr>
      <w:vertAlign w:val="superscript"/>
    </w:rPr>
  </w:style>
  <w:style w:type="character" w:customStyle="1" w:styleId="a6">
    <w:name w:val="Символ нумерации"/>
    <w:qFormat/>
  </w:style>
  <w:style w:type="character" w:customStyle="1" w:styleId="a7">
    <w:name w:val="Текст выноски Знак"/>
    <w:basedOn w:val="a0"/>
    <w:link w:val="a8"/>
    <w:uiPriority w:val="99"/>
    <w:semiHidden/>
    <w:qFormat/>
    <w:rsid w:val="00E93CFE"/>
    <w:rPr>
      <w:rFonts w:ascii="Segoe UI" w:eastAsiaTheme="minorEastAsia" w:hAnsi="Segoe UI" w:cs="Segoe UI"/>
      <w:sz w:val="18"/>
      <w:szCs w:val="18"/>
      <w:lang w:eastAsia="ru-RU"/>
    </w:rPr>
  </w:style>
  <w:style w:type="paragraph" w:customStyle="1" w:styleId="a9">
    <w:name w:val="Заголовок"/>
    <w:basedOn w:val="a"/>
    <w:next w:val="aa"/>
    <w:qFormat/>
    <w:pPr>
      <w:keepNext/>
      <w:spacing w:before="240" w:after="120"/>
    </w:pPr>
    <w:rPr>
      <w:rFonts w:ascii="PT Astra Serif" w:eastAsia="Tahoma" w:hAnsi="PT Astra Serif" w:cs="Noto Sans Devanagari"/>
      <w:sz w:val="28"/>
      <w:szCs w:val="28"/>
    </w:rPr>
  </w:style>
  <w:style w:type="paragraph" w:styleId="aa">
    <w:name w:val="Body Text"/>
    <w:basedOn w:val="a"/>
    <w:pPr>
      <w:spacing w:after="140"/>
    </w:pPr>
  </w:style>
  <w:style w:type="paragraph" w:styleId="ab">
    <w:name w:val="List"/>
    <w:basedOn w:val="aa"/>
    <w:rPr>
      <w:rFonts w:ascii="PT Astra Serif" w:hAnsi="PT Astra Serif" w:cs="Noto Sans Devanagari"/>
    </w:rPr>
  </w:style>
  <w:style w:type="paragraph" w:styleId="ac">
    <w:name w:val="caption"/>
    <w:basedOn w:val="a"/>
    <w:qFormat/>
    <w:pPr>
      <w:suppressLineNumbers/>
      <w:spacing w:before="120" w:after="120"/>
    </w:pPr>
    <w:rPr>
      <w:rFonts w:ascii="PT Astra Serif" w:hAnsi="PT Astra Serif" w:cs="Noto Sans Devanagari"/>
      <w:i/>
      <w:iCs/>
      <w:sz w:val="24"/>
      <w:szCs w:val="24"/>
    </w:rPr>
  </w:style>
  <w:style w:type="paragraph" w:styleId="ad">
    <w:name w:val="index heading"/>
    <w:basedOn w:val="a"/>
    <w:qFormat/>
    <w:pPr>
      <w:suppressLineNumbers/>
    </w:pPr>
    <w:rPr>
      <w:rFonts w:ascii="PT Astra Serif" w:hAnsi="PT Astra Serif" w:cs="Noto Sans Devanagari"/>
    </w:rPr>
  </w:style>
  <w:style w:type="paragraph" w:customStyle="1" w:styleId="1">
    <w:name w:val="Заголовок1"/>
    <w:basedOn w:val="a"/>
    <w:next w:val="aa"/>
    <w:qFormat/>
    <w:pPr>
      <w:keepNext/>
      <w:spacing w:before="240" w:after="120"/>
    </w:pPr>
    <w:rPr>
      <w:rFonts w:ascii="PT Astra Serif" w:eastAsia="Tahoma" w:hAnsi="PT Astra Serif" w:cs="Noto Sans Devanagari"/>
      <w:sz w:val="28"/>
      <w:szCs w:val="28"/>
    </w:rPr>
  </w:style>
  <w:style w:type="paragraph" w:customStyle="1" w:styleId="ConsPlusNormal">
    <w:name w:val="ConsPlusNormal"/>
    <w:qFormat/>
    <w:rsid w:val="00822F91"/>
    <w:pPr>
      <w:widowControl w:val="0"/>
    </w:pPr>
    <w:rPr>
      <w:rFonts w:ascii="Arial" w:eastAsia="Times New Roman" w:hAnsi="Arial" w:cs="Arial"/>
      <w:sz w:val="20"/>
      <w:szCs w:val="20"/>
      <w:lang w:eastAsia="ru-RU"/>
    </w:rPr>
  </w:style>
  <w:style w:type="paragraph" w:customStyle="1" w:styleId="ConsPlusTitle">
    <w:name w:val="ConsPlusTitle"/>
    <w:qFormat/>
    <w:rsid w:val="00822F91"/>
    <w:pPr>
      <w:widowControl w:val="0"/>
    </w:pPr>
    <w:rPr>
      <w:rFonts w:eastAsia="Times New Roman" w:cs="Calibri"/>
      <w:b/>
      <w:szCs w:val="20"/>
      <w:lang w:eastAsia="ru-RU"/>
    </w:rPr>
  </w:style>
  <w:style w:type="paragraph" w:styleId="ae">
    <w:name w:val="List Paragraph"/>
    <w:basedOn w:val="a"/>
    <w:uiPriority w:val="34"/>
    <w:qFormat/>
    <w:rsid w:val="00EB2A4D"/>
    <w:pPr>
      <w:ind w:left="720"/>
      <w:contextualSpacing/>
    </w:pPr>
  </w:style>
  <w:style w:type="paragraph" w:customStyle="1" w:styleId="formattext">
    <w:name w:val="formattext"/>
    <w:basedOn w:val="a"/>
    <w:qFormat/>
    <w:rsid w:val="00D510DE"/>
    <w:pPr>
      <w:spacing w:beforeAutospacing="1" w:afterAutospacing="1" w:line="240" w:lineRule="auto"/>
    </w:pPr>
    <w:rPr>
      <w:rFonts w:ascii="Times New Roman" w:eastAsia="Times New Roman" w:hAnsi="Times New Roman" w:cs="Times New Roman"/>
      <w:sz w:val="24"/>
      <w:szCs w:val="24"/>
    </w:rPr>
  </w:style>
  <w:style w:type="paragraph" w:customStyle="1" w:styleId="af">
    <w:name w:val="Содержимое таблицы"/>
    <w:basedOn w:val="a"/>
    <w:qFormat/>
    <w:pPr>
      <w:widowControl w:val="0"/>
      <w:suppressLineNumbers/>
    </w:pPr>
  </w:style>
  <w:style w:type="paragraph" w:customStyle="1" w:styleId="af0">
    <w:name w:val="Заголовок таблицы"/>
    <w:basedOn w:val="af"/>
    <w:qFormat/>
    <w:pPr>
      <w:jc w:val="center"/>
    </w:pPr>
    <w:rPr>
      <w:b/>
      <w:bCs/>
    </w:rPr>
  </w:style>
  <w:style w:type="paragraph" w:customStyle="1" w:styleId="af1">
    <w:name w:val="Колонтитул"/>
    <w:basedOn w:val="a"/>
    <w:qFormat/>
    <w:pPr>
      <w:suppressLineNumbers/>
      <w:tabs>
        <w:tab w:val="center" w:pos="7143"/>
        <w:tab w:val="right" w:pos="14287"/>
      </w:tabs>
    </w:pPr>
  </w:style>
  <w:style w:type="paragraph" w:styleId="af2">
    <w:name w:val="header"/>
    <w:basedOn w:val="af1"/>
    <w:link w:val="af3"/>
    <w:uiPriority w:val="99"/>
  </w:style>
  <w:style w:type="paragraph" w:styleId="af4">
    <w:name w:val="footnote text"/>
    <w:basedOn w:val="a"/>
    <w:pPr>
      <w:suppressLineNumbers/>
      <w:ind w:left="340" w:hanging="340"/>
    </w:pPr>
    <w:rPr>
      <w:sz w:val="20"/>
      <w:szCs w:val="20"/>
    </w:rPr>
  </w:style>
  <w:style w:type="paragraph" w:styleId="af5">
    <w:name w:val="No Spacing"/>
    <w:qFormat/>
    <w:rPr>
      <w:rFonts w:ascii="Times New Roman" w:eastAsia="Times New Roman" w:hAnsi="Times New Roman" w:cs="Times New Roman"/>
      <w:sz w:val="24"/>
      <w:szCs w:val="24"/>
    </w:rPr>
  </w:style>
  <w:style w:type="paragraph" w:styleId="a8">
    <w:name w:val="Balloon Text"/>
    <w:basedOn w:val="a"/>
    <w:link w:val="a7"/>
    <w:uiPriority w:val="99"/>
    <w:semiHidden/>
    <w:unhideWhenUsed/>
    <w:qFormat/>
    <w:rsid w:val="00E93CFE"/>
    <w:pPr>
      <w:spacing w:after="0" w:line="240" w:lineRule="auto"/>
    </w:pPr>
    <w:rPr>
      <w:rFonts w:ascii="Segoe UI" w:hAnsi="Segoe UI" w:cs="Segoe UI"/>
      <w:sz w:val="18"/>
      <w:szCs w:val="18"/>
    </w:rPr>
  </w:style>
  <w:style w:type="numbering" w:customStyle="1" w:styleId="10">
    <w:name w:val="Стиль1"/>
    <w:uiPriority w:val="99"/>
    <w:qFormat/>
    <w:rsid w:val="00560B25"/>
  </w:style>
  <w:style w:type="table" w:styleId="af6">
    <w:name w:val="Table Grid"/>
    <w:basedOn w:val="a1"/>
    <w:uiPriority w:val="59"/>
    <w:rsid w:val="00822F91"/>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footer"/>
    <w:basedOn w:val="a"/>
    <w:link w:val="af8"/>
    <w:uiPriority w:val="99"/>
    <w:unhideWhenUsed/>
    <w:rsid w:val="0069546A"/>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9546A"/>
    <w:rPr>
      <w:rFonts w:ascii="Calibri" w:eastAsiaTheme="minorEastAsia" w:hAnsi="Calibri"/>
      <w:lang w:eastAsia="ru-RU"/>
    </w:rPr>
  </w:style>
  <w:style w:type="character" w:customStyle="1" w:styleId="af3">
    <w:name w:val="Верхний колонтитул Знак"/>
    <w:basedOn w:val="a0"/>
    <w:link w:val="af2"/>
    <w:uiPriority w:val="99"/>
    <w:rsid w:val="0069546A"/>
    <w:rPr>
      <w:rFonts w:ascii="Calibri" w:eastAsiaTheme="minorEastAsia"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plotArea>
      <c:layout>
        <c:manualLayout>
          <c:layoutTarget val="inner"/>
          <c:xMode val="edge"/>
          <c:yMode val="edge"/>
          <c:x val="0.11862499999999999"/>
          <c:y val="5.06666666666667E-2"/>
          <c:w val="0.62643749999999998"/>
          <c:h val="0.71588888888888902"/>
        </c:manualLayout>
      </c:layout>
      <c:barChart>
        <c:barDir val="col"/>
        <c:grouping val="clustered"/>
        <c:varyColors val="0"/>
        <c:ser>
          <c:idx val="0"/>
          <c:order val="0"/>
          <c:tx>
            <c:strRef>
              <c:f>label 0</c:f>
              <c:strCache>
                <c:ptCount val="1"/>
                <c:pt idx="0">
                  <c:v>План, %</c:v>
                </c:pt>
              </c:strCache>
            </c:strRef>
          </c:tx>
          <c:spPr>
            <a:solidFill>
              <a:srgbClr val="BBE33D"/>
            </a:solidFill>
            <a:ln w="0">
              <a:noFill/>
            </a:ln>
          </c:spPr>
          <c:invertIfNegative val="0"/>
          <c:dPt>
            <c:idx val="0"/>
            <c:invertIfNegative val="0"/>
            <c:bubble3D val="0"/>
          </c:dPt>
          <c:dLbls>
            <c:spPr>
              <a:noFill/>
              <a:ln>
                <a:noFill/>
              </a:ln>
              <a:effectLst/>
            </c:spPr>
            <c:txPr>
              <a:bodyPr wrap="none"/>
              <a:lstStyle/>
              <a:p>
                <a:pPr>
                  <a:defRPr sz="1000" b="0" strike="noStrike" spc="-1">
                    <a:solidFill>
                      <a:srgbClr val="000000"/>
                    </a:solidFill>
                    <a:latin typeface="Arial"/>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2021</c:v>
                </c:pt>
                <c:pt idx="1">
                  <c:v>2022</c:v>
                </c:pt>
                <c:pt idx="2">
                  <c:v>2023</c:v>
                </c:pt>
              </c:strCache>
            </c:strRef>
          </c:cat>
          <c:val>
            <c:numRef>
              <c:f>0</c:f>
              <c:numCache>
                <c:formatCode>General</c:formatCode>
                <c:ptCount val="4"/>
                <c:pt idx="0">
                  <c:v>15</c:v>
                </c:pt>
                <c:pt idx="1">
                  <c:v>20</c:v>
                </c:pt>
                <c:pt idx="2">
                  <c:v>25</c:v>
                </c:pt>
              </c:numCache>
            </c:numRef>
          </c:val>
        </c:ser>
        <c:ser>
          <c:idx val="1"/>
          <c:order val="1"/>
          <c:tx>
            <c:strRef>
              <c:f>label 1</c:f>
              <c:strCache>
                <c:ptCount val="1"/>
                <c:pt idx="0">
                  <c:v>Факт, %</c:v>
                </c:pt>
              </c:strCache>
            </c:strRef>
          </c:tx>
          <c:spPr>
            <a:solidFill>
              <a:srgbClr val="FF6D6D"/>
            </a:solidFill>
            <a:ln w="0">
              <a:noFill/>
            </a:ln>
          </c:spPr>
          <c:invertIfNegative val="0"/>
          <c:dPt>
            <c:idx val="1"/>
            <c:invertIfNegative val="0"/>
            <c:bubble3D val="0"/>
          </c:dPt>
          <c:dLbls>
            <c:spPr>
              <a:noFill/>
              <a:ln>
                <a:noFill/>
              </a:ln>
              <a:effectLst/>
            </c:spPr>
            <c:txPr>
              <a:bodyPr wrap="none"/>
              <a:lstStyle/>
              <a:p>
                <a:pPr>
                  <a:defRPr sz="1000" b="0" strike="noStrike" spc="-1">
                    <a:solidFill>
                      <a:srgbClr val="000000"/>
                    </a:solidFill>
                    <a:latin typeface="Arial"/>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2021</c:v>
                </c:pt>
                <c:pt idx="1">
                  <c:v>2022</c:v>
                </c:pt>
                <c:pt idx="2">
                  <c:v>2023</c:v>
                </c:pt>
              </c:strCache>
            </c:strRef>
          </c:cat>
          <c:val>
            <c:numRef>
              <c:f>1</c:f>
              <c:numCache>
                <c:formatCode>General</c:formatCode>
                <c:ptCount val="4"/>
                <c:pt idx="0">
                  <c:v>16.010000000000002</c:v>
                </c:pt>
                <c:pt idx="1">
                  <c:v>22.39</c:v>
                </c:pt>
                <c:pt idx="2">
                  <c:v>34.299999999999997</c:v>
                </c:pt>
              </c:numCache>
            </c:numRef>
          </c:val>
        </c:ser>
        <c:dLbls>
          <c:showLegendKey val="0"/>
          <c:showVal val="0"/>
          <c:showCatName val="0"/>
          <c:showSerName val="0"/>
          <c:showPercent val="0"/>
          <c:showBubbleSize val="0"/>
        </c:dLbls>
        <c:gapWidth val="100"/>
        <c:axId val="204542752"/>
        <c:axId val="204143040"/>
      </c:barChart>
      <c:lineChart>
        <c:grouping val="standard"/>
        <c:varyColors val="0"/>
        <c:ser>
          <c:idx val="2"/>
          <c:order val="2"/>
          <c:tx>
            <c:strRef>
              <c:f>label 2</c:f>
              <c:strCache>
                <c:ptCount val="1"/>
                <c:pt idx="0">
                  <c:v>Динамика</c:v>
                </c:pt>
              </c:strCache>
            </c:strRef>
          </c:tx>
          <c:spPr>
            <a:ln w="28800">
              <a:solidFill>
                <a:srgbClr val="F10D0C"/>
              </a:solidFill>
              <a:prstDash val="sysDot"/>
              <a:round/>
            </a:ln>
          </c:spPr>
          <c:marker>
            <c:symbol val="none"/>
          </c:marker>
          <c:dLbls>
            <c:spPr>
              <a:noFill/>
              <a:ln>
                <a:noFill/>
              </a:ln>
              <a:effectLst/>
            </c:spPr>
            <c:txPr>
              <a:bodyPr wrap="none"/>
              <a:lstStyle/>
              <a:p>
                <a:pPr>
                  <a:defRPr sz="1000" b="0" strike="noStrike" spc="-1">
                    <a:solidFill>
                      <a:srgbClr val="000000"/>
                    </a:solidFill>
                    <a:latin typeface="Arial"/>
                  </a:defRPr>
                </a:pPr>
                <a:endParaRPr lang="ru-RU"/>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2021</c:v>
                </c:pt>
                <c:pt idx="1">
                  <c:v>2022</c:v>
                </c:pt>
                <c:pt idx="2">
                  <c:v>2023</c:v>
                </c:pt>
              </c:strCache>
            </c:strRef>
          </c:cat>
          <c:val>
            <c:numRef>
              <c:f>2</c:f>
              <c:numCache>
                <c:formatCode>General</c:formatCode>
                <c:ptCount val="4"/>
                <c:pt idx="0">
                  <c:v>16</c:v>
                </c:pt>
                <c:pt idx="1">
                  <c:v>22</c:v>
                </c:pt>
                <c:pt idx="2">
                  <c:v>34</c:v>
                </c:pt>
              </c:numCache>
            </c:numRef>
          </c:val>
          <c:smooth val="0"/>
        </c:ser>
        <c:dLbls>
          <c:showLegendKey val="0"/>
          <c:showVal val="0"/>
          <c:showCatName val="0"/>
          <c:showSerName val="0"/>
          <c:showPercent val="0"/>
          <c:showBubbleSize val="0"/>
        </c:dLbls>
        <c:hiLowLines>
          <c:spPr>
            <a:ln w="0">
              <a:noFill/>
            </a:ln>
          </c:spPr>
        </c:hiLowLines>
        <c:marker val="1"/>
        <c:smooth val="0"/>
        <c:axId val="204542752"/>
        <c:axId val="204143040"/>
      </c:lineChart>
      <c:catAx>
        <c:axId val="204542752"/>
        <c:scaling>
          <c:orientation val="minMax"/>
        </c:scaling>
        <c:delete val="0"/>
        <c:axPos val="b"/>
        <c:title>
          <c:tx>
            <c:rich>
              <a:bodyPr rot="0"/>
              <a:lstStyle/>
              <a:p>
                <a:pPr>
                  <a:defRPr lang="ru-RU" sz="900" b="0" strike="noStrike" spc="-1">
                    <a:solidFill>
                      <a:srgbClr val="000000"/>
                    </a:solidFill>
                    <a:latin typeface="Arial"/>
                  </a:defRPr>
                </a:pPr>
                <a:r>
                  <a:rPr lang="ru-RU" sz="900" b="0" strike="noStrike" spc="-1">
                    <a:solidFill>
                      <a:srgbClr val="000000"/>
                    </a:solidFill>
                    <a:latin typeface="Arial"/>
                  </a:rPr>
                  <a:t>Доля вовлеченности жителей республики, старше 14 лет, в вопросы формирования комфортной городской среды</a:t>
                </a:r>
              </a:p>
            </c:rich>
          </c:tx>
          <c:layout>
            <c:manualLayout>
              <c:xMode val="edge"/>
              <c:yMode val="edge"/>
              <c:x val="0.110638829853732"/>
              <c:y val="0.86742971441271299"/>
            </c:manualLayout>
          </c:layout>
          <c:overlay val="0"/>
          <c:spPr>
            <a:noFill/>
            <a:ln w="0">
              <a:noFill/>
            </a:ln>
          </c:spPr>
        </c:title>
        <c:numFmt formatCode="[$-419]dd/mm/yyyy"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ru-RU"/>
          </a:p>
        </c:txPr>
        <c:crossAx val="204143040"/>
        <c:crosses val="autoZero"/>
        <c:auto val="1"/>
        <c:lblAlgn val="ctr"/>
        <c:lblOffset val="100"/>
        <c:noMultiLvlLbl val="0"/>
      </c:catAx>
      <c:valAx>
        <c:axId val="204143040"/>
        <c:scaling>
          <c:orientation val="minMax"/>
        </c:scaling>
        <c:delete val="0"/>
        <c:axPos val="l"/>
        <c:majorGridlines>
          <c:spPr>
            <a:ln w="0">
              <a:solidFill>
                <a:srgbClr val="B3B3B3"/>
              </a:solidFill>
            </a:ln>
          </c:spPr>
        </c:majorGridlines>
        <c:title>
          <c:tx>
            <c:rich>
              <a:bodyPr rot="-5400000"/>
              <a:lstStyle/>
              <a:p>
                <a:pPr>
                  <a:defRPr lang="ru-RU" sz="900" b="0" strike="noStrike" spc="-1">
                    <a:solidFill>
                      <a:srgbClr val="000000"/>
                    </a:solidFill>
                    <a:latin typeface="Arial"/>
                  </a:defRPr>
                </a:pPr>
                <a:r>
                  <a:rPr lang="ru-RU" sz="900" b="0" strike="noStrike" spc="-1">
                    <a:solidFill>
                      <a:srgbClr val="000000"/>
                    </a:solidFill>
                    <a:latin typeface="Arial"/>
                  </a:rPr>
                  <a:t>%</a:t>
                </a:r>
              </a:p>
            </c:rich>
          </c:tx>
          <c:overlay val="0"/>
          <c:spPr>
            <a:noFill/>
            <a:ln w="0">
              <a:noFill/>
            </a:ln>
          </c:spPr>
        </c:title>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ru-RU"/>
          </a:p>
        </c:txPr>
        <c:crossAx val="204542752"/>
        <c:crosses val="autoZero"/>
        <c:crossBetween val="between"/>
      </c:valAx>
      <c:spPr>
        <a:noFill/>
        <a:ln w="0">
          <a:solidFill>
            <a:srgbClr val="B3B3B3"/>
          </a:solidFill>
        </a:ln>
      </c:spPr>
    </c:plotArea>
    <c:legend>
      <c:legendPos val="r"/>
      <c:overlay val="0"/>
      <c:spPr>
        <a:noFill/>
        <a:ln w="0">
          <a:noFill/>
        </a:ln>
      </c:spPr>
      <c:txPr>
        <a:bodyPr/>
        <a:lstStyle/>
        <a:p>
          <a:pPr>
            <a:defRPr sz="1000" b="0" strike="noStrike" spc="-1">
              <a:solidFill>
                <a:srgbClr val="000000"/>
              </a:solidFill>
              <a:latin typeface="Arial"/>
            </a:defRPr>
          </a:pPr>
          <a:endParaRPr lang="ru-RU"/>
        </a:p>
      </c:txPr>
    </c:legend>
    <c:plotVisOnly val="1"/>
    <c:dispBlanksAs val="gap"/>
    <c:showDLblsOverMax val="1"/>
  </c:chart>
  <c:spPr>
    <a:noFill/>
    <a:ln w="0">
      <a:noFill/>
    </a:ln>
  </c:spPr>
  <c:userShapes r:id="rId1"/>
</c:chartSpace>
</file>

<file path=word/drawings/drawing1.xml><?xml version="1.0" encoding="utf-8"?>
<c:userShapes xmlns:c="http://schemas.openxmlformats.org/drawingml/2006/chart">
  <cdr:relSizeAnchor xmlns:cdr="http://schemas.openxmlformats.org/drawingml/2006/chartDrawing">
    <cdr:from>
      <cdr:x>0.14621</cdr:x>
      <cdr:y>0.42149</cdr:y>
    </cdr:from>
    <cdr:to>
      <cdr:x>0.18846</cdr:x>
      <cdr:y>0.46416</cdr:y>
    </cdr:to>
    <cdr:sp macro="" textlink="">
      <cdr:nvSpPr>
        <cdr:cNvPr id="2" name="Прямоугольник 1"/>
        <cdr:cNvSpPr/>
      </cdr:nvSpPr>
      <cdr:spPr>
        <a:xfrm xmlns:a="http://schemas.openxmlformats.org/drawingml/2006/main">
          <a:off x="0" y="0"/>
          <a:ext cx="243360" cy="13824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0" tIns="0" rIns="0" bIns="0" anchor="ctr" anchorCtr="1">
          <a:noAutofit/>
        </a:bodyPr>
        <a:lstStyle xmlns:a="http://schemas.openxmlformats.org/drawingml/2006/main"/>
        <a:p xmlns:a="http://schemas.openxmlformats.org/drawingml/2006/main">
          <a:pPr>
            <a:lnSpc>
              <a:spcPct val="100000"/>
            </a:lnSpc>
          </a:pPr>
          <a:r>
            <a:rPr sz="1000" b="0" strike="noStrike" spc="-1">
              <a:solidFill>
                <a:srgbClr val="000000"/>
              </a:solidFill>
              <a:latin typeface="Arial"/>
            </a:rPr>
            <a:t>15%</a:t>
          </a:r>
          <a:endParaRPr sz="1000" b="0" strike="noStrike" spc="-1">
            <a:latin typeface="Times New Roman"/>
          </a:endParaRPr>
        </a:p>
      </cdr:txBody>
    </cdr:sp>
  </cdr:relSizeAnchor>
  <cdr:relSizeAnchor xmlns:cdr="http://schemas.openxmlformats.org/drawingml/2006/chartDrawing">
    <cdr:from>
      <cdr:x>0.1949</cdr:x>
      <cdr:y>0.39227</cdr:y>
    </cdr:from>
    <cdr:to>
      <cdr:x>0.26691</cdr:x>
      <cdr:y>0.43494</cdr:y>
    </cdr:to>
    <cdr:sp macro="" textlink="">
      <cdr:nvSpPr>
        <cdr:cNvPr id="3" name="Прямоугольник 2"/>
        <cdr:cNvSpPr/>
      </cdr:nvSpPr>
      <cdr:spPr>
        <a:xfrm xmlns:a="http://schemas.openxmlformats.org/drawingml/2006/main">
          <a:off x="0" y="0"/>
          <a:ext cx="414720" cy="13824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0" tIns="0" rIns="0" bIns="0" anchor="ctr" anchorCtr="1">
          <a:noAutofit/>
        </a:bodyPr>
        <a:lstStyle xmlns:a="http://schemas.openxmlformats.org/drawingml/2006/main"/>
        <a:p xmlns:a="http://schemas.openxmlformats.org/drawingml/2006/main">
          <a:pPr>
            <a:lnSpc>
              <a:spcPct val="100000"/>
            </a:lnSpc>
          </a:pPr>
          <a:r>
            <a:rPr sz="1000" b="0" strike="noStrike" spc="-1">
              <a:solidFill>
                <a:srgbClr val="000000"/>
              </a:solidFill>
              <a:latin typeface="Arial"/>
            </a:rPr>
            <a:t>16,01%</a:t>
          </a:r>
          <a:endParaRPr sz="1000" b="0" strike="noStrike" spc="-1">
            <a:latin typeface="Times New Roman"/>
          </a:endParaRPr>
        </a:p>
      </cdr:txBody>
    </cdr:sp>
  </cdr:relSizeAnchor>
  <cdr:relSizeAnchor xmlns:cdr="http://schemas.openxmlformats.org/drawingml/2006/chartDrawing">
    <cdr:from>
      <cdr:x>0.29585</cdr:x>
      <cdr:y>0.3277</cdr:y>
    </cdr:from>
    <cdr:to>
      <cdr:x>0.36786</cdr:x>
      <cdr:y>0.37037</cdr:y>
    </cdr:to>
    <cdr:sp macro="" textlink="">
      <cdr:nvSpPr>
        <cdr:cNvPr id="4" name="Прямоугольник 3"/>
        <cdr:cNvSpPr/>
      </cdr:nvSpPr>
      <cdr:spPr>
        <a:xfrm xmlns:a="http://schemas.openxmlformats.org/drawingml/2006/main">
          <a:off x="0" y="0"/>
          <a:ext cx="414720" cy="13824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0" tIns="0" rIns="0" bIns="0" anchor="ctr" anchorCtr="1">
          <a:noAutofit/>
        </a:bodyPr>
        <a:lstStyle xmlns:a="http://schemas.openxmlformats.org/drawingml/2006/main"/>
        <a:p xmlns:a="http://schemas.openxmlformats.org/drawingml/2006/main">
          <a:pPr>
            <a:lnSpc>
              <a:spcPct val="100000"/>
            </a:lnSpc>
          </a:pPr>
          <a:r>
            <a:rPr sz="1000" b="0" strike="noStrike" spc="-1">
              <a:solidFill>
                <a:srgbClr val="000000"/>
              </a:solidFill>
              <a:latin typeface="Arial"/>
            </a:rPr>
            <a:t>20%</a:t>
          </a:r>
          <a:endParaRPr sz="1000" b="0" strike="noStrike" spc="-1">
            <a:latin typeface="Times New Roman"/>
          </a:endParaRPr>
        </a:p>
      </cdr:txBody>
    </cdr:sp>
  </cdr:relSizeAnchor>
  <cdr:relSizeAnchor xmlns:cdr="http://schemas.openxmlformats.org/drawingml/2006/chartDrawing">
    <cdr:from>
      <cdr:x>0.35536</cdr:x>
      <cdr:y>0.28348</cdr:y>
    </cdr:from>
    <cdr:to>
      <cdr:x>0.42737</cdr:x>
      <cdr:y>0.32615</cdr:y>
    </cdr:to>
    <cdr:sp macro="" textlink="">
      <cdr:nvSpPr>
        <cdr:cNvPr id="5" name="Прямоугольник 4"/>
        <cdr:cNvSpPr/>
      </cdr:nvSpPr>
      <cdr:spPr>
        <a:xfrm xmlns:a="http://schemas.openxmlformats.org/drawingml/2006/main">
          <a:off x="0" y="0"/>
          <a:ext cx="414720" cy="13824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0" tIns="0" rIns="0" bIns="0" anchor="ctr" anchorCtr="1">
          <a:noAutofit/>
        </a:bodyPr>
        <a:lstStyle xmlns:a="http://schemas.openxmlformats.org/drawingml/2006/main"/>
        <a:p xmlns:a="http://schemas.openxmlformats.org/drawingml/2006/main">
          <a:pPr>
            <a:lnSpc>
              <a:spcPct val="100000"/>
            </a:lnSpc>
          </a:pPr>
          <a:r>
            <a:rPr sz="1000" b="0" strike="noStrike" spc="-1">
              <a:solidFill>
                <a:srgbClr val="000000"/>
              </a:solidFill>
              <a:latin typeface="Arial"/>
            </a:rPr>
            <a:t>22,39%</a:t>
          </a:r>
          <a:endParaRPr sz="1000" b="0" strike="noStrike" spc="-1">
            <a:latin typeface="Times New Roman"/>
          </a:endParaRPr>
        </a:p>
      </cdr:txBody>
    </cdr:sp>
  </cdr:relSizeAnchor>
  <cdr:relSizeAnchor xmlns:cdr="http://schemas.openxmlformats.org/drawingml/2006/chartDrawing">
    <cdr:from>
      <cdr:x>0.44462</cdr:x>
      <cdr:y>0.25436</cdr:y>
    </cdr:from>
    <cdr:to>
      <cdr:x>0.51663</cdr:x>
      <cdr:y>0.29703</cdr:y>
    </cdr:to>
    <cdr:sp macro="" textlink="">
      <cdr:nvSpPr>
        <cdr:cNvPr id="6" name="Прямоугольник 5"/>
        <cdr:cNvSpPr/>
      </cdr:nvSpPr>
      <cdr:spPr>
        <a:xfrm xmlns:a="http://schemas.openxmlformats.org/drawingml/2006/main">
          <a:off x="0" y="0"/>
          <a:ext cx="414720" cy="13824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0" tIns="0" rIns="0" bIns="0" anchor="ctr" anchorCtr="1">
          <a:noAutofit/>
        </a:bodyPr>
        <a:lstStyle xmlns:a="http://schemas.openxmlformats.org/drawingml/2006/main"/>
        <a:p xmlns:a="http://schemas.openxmlformats.org/drawingml/2006/main">
          <a:pPr>
            <a:lnSpc>
              <a:spcPct val="100000"/>
            </a:lnSpc>
          </a:pPr>
          <a:r>
            <a:rPr sz="1000" b="0" strike="noStrike" spc="-1">
              <a:solidFill>
                <a:srgbClr val="000000"/>
              </a:solidFill>
              <a:latin typeface="Arial"/>
            </a:rPr>
            <a:t>25%</a:t>
          </a:r>
          <a:endParaRPr sz="1000" b="0" strike="noStrike" spc="-1">
            <a:latin typeface="Times New Roman"/>
          </a:endParaRPr>
        </a:p>
      </cdr:txBody>
    </cdr:sp>
  </cdr:relSizeAnchor>
  <cdr:relSizeAnchor xmlns:cdr="http://schemas.openxmlformats.org/drawingml/2006/chartDrawing">
    <cdr:from>
      <cdr:x>0.50531</cdr:x>
      <cdr:y>0.07834</cdr:y>
    </cdr:from>
    <cdr:to>
      <cdr:x>0.57732</cdr:x>
      <cdr:y>0.12101</cdr:y>
    </cdr:to>
    <cdr:sp macro="" textlink="">
      <cdr:nvSpPr>
        <cdr:cNvPr id="7" name="Прямоугольник 6"/>
        <cdr:cNvSpPr/>
      </cdr:nvSpPr>
      <cdr:spPr>
        <a:xfrm xmlns:a="http://schemas.openxmlformats.org/drawingml/2006/main">
          <a:off x="0" y="0"/>
          <a:ext cx="414720" cy="13824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0" tIns="0" rIns="0" bIns="0" anchor="ctr" anchorCtr="1">
          <a:noAutofit/>
        </a:bodyPr>
        <a:lstStyle xmlns:a="http://schemas.openxmlformats.org/drawingml/2006/main"/>
        <a:p xmlns:a="http://schemas.openxmlformats.org/drawingml/2006/main">
          <a:pPr>
            <a:lnSpc>
              <a:spcPct val="100000"/>
            </a:lnSpc>
          </a:pPr>
          <a:r>
            <a:rPr sz="1000" b="0" strike="noStrike" spc="-1">
              <a:solidFill>
                <a:srgbClr val="000000"/>
              </a:solidFill>
              <a:latin typeface="Arial"/>
            </a:rPr>
            <a:t>34,3%</a:t>
          </a:r>
          <a:endParaRPr sz="1000" b="0" strike="noStrike" spc="-1">
            <a:latin typeface="Times New Roman"/>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2659</Words>
  <Characters>15161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Натпит-оол Урана Васильевна</dc:creator>
  <dc:description/>
  <cp:lastModifiedBy>Тас-оол Оксана Всеволодовна</cp:lastModifiedBy>
  <cp:revision>2</cp:revision>
  <cp:lastPrinted>2024-09-12T03:59:00Z</cp:lastPrinted>
  <dcterms:created xsi:type="dcterms:W3CDTF">2024-09-12T03:59:00Z</dcterms:created>
  <dcterms:modified xsi:type="dcterms:W3CDTF">2024-09-12T03:59:00Z</dcterms:modified>
  <dc:language>ru-RU</dc:language>
</cp:coreProperties>
</file>